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дополнительного образования 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«Детская школа искусств №2»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«Ансамбль (кларнет)»</w:t>
        <w:br/>
        <w:t>по дополнительной общеобразовательной программе в области музыкального искусства</w:t>
        <w:br/>
        <w:t>«Духовые и ударные инструменты»</w:t>
        <w:br/>
        <w:t>Срок реализации 5 лет</w:t>
        <w:br/>
        <w:t>ПО.01.УП.02</w:t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</w:rPr>
      </w:pPr>
      <w:r>
        <w:rPr>
          <w:b/>
        </w:rPr>
        <w:t>Оренбург  201</w:t>
      </w:r>
      <w:r>
        <w:rPr>
          <w:b/>
        </w:rPr>
        <w:t>8</w:t>
      </w:r>
    </w:p>
    <w:p>
      <w:pPr>
        <w:pStyle w:val="Style28"/>
        <w:shd w:fill="FFFFFF" w:val="clear"/>
        <w:spacing w:lineRule="exact" w:line="27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tbl>
      <w:tblPr>
        <w:tblW w:w="97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77"/>
        <w:gridCol w:w="4879"/>
      </w:tblGrid>
      <w:tr>
        <w:trPr>
          <w:trHeight w:val="2436" w:hRule="atLeast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 февраля 2018 г.</w:t>
            </w:r>
          </w:p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Style34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(подпись)</w:t>
            </w:r>
          </w:p>
          <w:p>
            <w:pPr>
              <w:pStyle w:val="Style34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spacing w:lineRule="auto" w:line="276"/>
        <w:jc w:val="center"/>
        <w:rPr/>
      </w:pPr>
      <w:r>
        <w:rPr>
          <w:rFonts w:eastAsia="Arial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Форма проведения учебных аудиторных занятий;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Цели и задачи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 учебного предмета;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Методы обучения;</w:t>
      </w:r>
    </w:p>
    <w:p>
      <w:pPr>
        <w:pStyle w:val="32"/>
        <w:numPr>
          <w:ilvl w:val="0"/>
          <w:numId w:val="13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32"/>
        <w:shd w:fill="FFFFFF" w:val="clear"/>
        <w:tabs>
          <w:tab w:val="left" w:pos="1078" w:leader="none"/>
        </w:tabs>
        <w:spacing w:lineRule="auto" w:line="276"/>
        <w:ind w:left="79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>
      <w:pPr>
        <w:pStyle w:val="32"/>
        <w:numPr>
          <w:ilvl w:val="0"/>
          <w:numId w:val="14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времени;</w:t>
      </w:r>
    </w:p>
    <w:p>
      <w:pPr>
        <w:pStyle w:val="32"/>
        <w:numPr>
          <w:ilvl w:val="0"/>
          <w:numId w:val="14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Годовые требования по классам;</w:t>
      </w:r>
    </w:p>
    <w:p>
      <w:pPr>
        <w:pStyle w:val="32"/>
        <w:shd w:fill="FFFFFF" w:val="clear"/>
        <w:tabs>
          <w:tab w:val="left" w:pos="1008" w:leader="none"/>
        </w:tabs>
        <w:spacing w:lineRule="auto" w:line="276"/>
        <w:ind w:left="72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>
      <w:pPr>
        <w:pStyle w:val="43"/>
        <w:shd w:fill="FFFFFF" w:val="clear"/>
        <w:tabs>
          <w:tab w:val="left" w:pos="1008" w:leader="none"/>
        </w:tabs>
        <w:spacing w:lineRule="auto" w:line="276"/>
        <w:ind w:left="72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numPr>
          <w:ilvl w:val="0"/>
          <w:numId w:val="15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Аттестация: цели, виды, форма, содержание;</w:t>
      </w:r>
    </w:p>
    <w:p>
      <w:pPr>
        <w:pStyle w:val="Normal"/>
        <w:numPr>
          <w:ilvl w:val="0"/>
          <w:numId w:val="15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оценки;</w:t>
      </w:r>
    </w:p>
    <w:p>
      <w:pPr>
        <w:pStyle w:val="Normal"/>
        <w:tabs>
          <w:tab w:val="left" w:pos="1080" w:leader="none"/>
        </w:tabs>
        <w:spacing w:lineRule="auto" w:line="276"/>
        <w:ind w:left="79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numPr>
          <w:ilvl w:val="0"/>
          <w:numId w:val="16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>
      <w:pPr>
        <w:pStyle w:val="Normal"/>
        <w:numPr>
          <w:ilvl w:val="0"/>
          <w:numId w:val="16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>
      <w:pPr>
        <w:pStyle w:val="Normal"/>
        <w:tabs>
          <w:tab w:val="left" w:pos="1080" w:leader="none"/>
        </w:tabs>
        <w:spacing w:lineRule="auto" w:line="276"/>
        <w:ind w:left="79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Списки рекомендуемой нотной и методической литературы</w:t>
      </w:r>
    </w:p>
    <w:p>
      <w:pPr>
        <w:pStyle w:val="Normal"/>
        <w:numPr>
          <w:ilvl w:val="0"/>
          <w:numId w:val="12"/>
        </w:numPr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Учебная литература;</w:t>
      </w:r>
    </w:p>
    <w:p>
      <w:pPr>
        <w:pStyle w:val="Normal"/>
        <w:numPr>
          <w:ilvl w:val="0"/>
          <w:numId w:val="12"/>
        </w:numPr>
        <w:shd w:fill="FFFFFF" w:val="clear"/>
        <w:tabs>
          <w:tab w:val="left" w:pos="288" w:leader="none"/>
        </w:tabs>
        <w:spacing w:lineRule="auto" w:line="276"/>
        <w:ind w:left="0" w:right="0" w:hanging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pacing w:val="-3"/>
          <w:sz w:val="28"/>
          <w:szCs w:val="28"/>
          <w:lang w:val="en-US"/>
        </w:rPr>
        <w:t>Методическая литература</w:t>
      </w:r>
      <w:r>
        <w:br w:type="page"/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both"/>
        <w:rPr>
          <w:b/>
          <w:b/>
        </w:rPr>
      </w:pPr>
      <w:r>
        <w:rPr>
          <w:b/>
        </w:rPr>
      </w:r>
    </w:p>
    <w:p>
      <w:pPr>
        <w:pStyle w:val="42"/>
        <w:shd w:fill="FFFFFF" w:val="clear"/>
        <w:tabs>
          <w:tab w:val="left" w:pos="1203" w:leader="none"/>
        </w:tabs>
        <w:spacing w:lineRule="auto" w:line="360"/>
        <w:ind w:left="0" w:right="0" w:firstLine="360"/>
        <w:jc w:val="both"/>
        <w:rPr/>
      </w:pPr>
      <w:r>
        <w:rPr/>
        <w:t xml:space="preserve">Характеристика учебного предмета, его место и роль в образовательном процессе 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Программа учебного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(кларнет)</w:t>
      </w:r>
      <w:r>
        <w:rPr/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духовых и ударных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медных духовых инстументов, составляющих основу оркестра.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42"/>
        <w:shd w:fill="FFFFFF" w:val="clear"/>
        <w:tabs>
          <w:tab w:val="left" w:pos="1007" w:leader="none"/>
        </w:tabs>
        <w:spacing w:lineRule="auto" w:line="360"/>
        <w:jc w:val="center"/>
        <w:rPr/>
      </w:pPr>
      <w:r>
        <w:rPr/>
        <w:t>Срок реализации учебного предмета «Ансамбль</w:t>
      </w:r>
      <w:r>
        <w:rPr>
          <w:i w:val="false"/>
          <w:iCs w:val="false"/>
        </w:rPr>
        <w:t xml:space="preserve"> </w:t>
      </w:r>
      <w:r>
        <w:rPr>
          <w:i/>
          <w:iCs/>
          <w:sz w:val="28"/>
          <w:szCs w:val="28"/>
        </w:rPr>
        <w:t>(кларнет)</w:t>
      </w:r>
      <w:r>
        <w:rPr/>
        <w:t>»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>Реализации данной программы осуществляется со 2 по 5 классы (по образовательным программам со сроком обучения 5 лет).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203" w:leader="none"/>
        </w:tabs>
        <w:spacing w:lineRule="auto" w:line="360"/>
        <w:jc w:val="both"/>
        <w:rPr/>
      </w:pPr>
      <w:r>
        <w:rPr>
          <w:rStyle w:val="Style18"/>
        </w:rPr>
        <w:t>Объем учебного времени,</w:t>
      </w:r>
      <w:r>
        <w:rPr/>
        <w:t xml:space="preserve"> предусмотренный учебным планом образовательного учреждения на реализацию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(кларнет)</w:t>
      </w:r>
      <w:r>
        <w:rPr/>
        <w:t>»:</w:t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32"/>
        <w:shd w:fill="FFFFFF" w:val="clear"/>
        <w:spacing w:lineRule="auto" w:line="360"/>
        <w:jc w:val="left"/>
        <w:rPr>
          <w:b/>
          <w:b/>
        </w:rPr>
      </w:pPr>
      <w:r>
        <w:rPr>
          <w:b/>
        </w:rPr>
        <w:t>Срок обучения - 5 (6) лет</w:t>
      </w:r>
    </w:p>
    <w:p>
      <w:pPr>
        <w:pStyle w:val="25"/>
        <w:shd w:fill="FFFFFF" w:val="clear"/>
        <w:spacing w:lineRule="auto" w:line="36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tbl>
      <w:tblPr>
        <w:tblW w:w="9088" w:type="dxa"/>
        <w:jc w:val="left"/>
        <w:tblInd w:w="-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5613"/>
        <w:gridCol w:w="3475"/>
      </w:tblGrid>
      <w:tr>
        <w:trPr/>
        <w:tc>
          <w:tcPr>
            <w:tcW w:w="5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2-5 классы</w:t>
            </w:r>
          </w:p>
        </w:tc>
      </w:tr>
      <w:tr>
        <w:trPr/>
        <w:tc>
          <w:tcPr>
            <w:tcW w:w="5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264</w:t>
            </w:r>
          </w:p>
        </w:tc>
      </w:tr>
      <w:tr>
        <w:trPr/>
        <w:tc>
          <w:tcPr>
            <w:tcW w:w="5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28"/>
        <w:shd w:fill="FFFFFF" w:val="clear"/>
        <w:spacing w:lineRule="auto" w:line="360"/>
        <w:jc w:val="left"/>
        <w:rPr/>
      </w:pPr>
      <w:r>
        <w:rPr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122" w:leader="none"/>
        </w:tabs>
        <w:spacing w:lineRule="auto" w:line="360"/>
        <w:jc w:val="both"/>
        <w:rPr/>
      </w:pPr>
      <w:r>
        <w:rPr>
          <w:rStyle w:val="Style18"/>
        </w:rPr>
        <w:t>Форма проведения учебных аудиторных занятий:</w:t>
      </w:r>
      <w:r>
        <w:rPr/>
        <w:t xml:space="preserve"> мелкогрупповая (от 2 до 10 человек). Рекомендуемая продолжительность урока — 40 минут.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  <w:t>Цель и задачи учебного предмета «Ансамбль</w:t>
      </w:r>
      <w:r>
        <w:rPr>
          <w:i/>
          <w:iCs/>
        </w:rPr>
        <w:t xml:space="preserve"> </w:t>
      </w:r>
      <w:r>
        <w:rPr>
          <w:i/>
          <w:iCs/>
          <w:sz w:val="28"/>
          <w:szCs w:val="28"/>
        </w:rPr>
        <w:t>(кларнет)</w:t>
      </w:r>
      <w:r>
        <w:rPr/>
        <w:t>»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 xml:space="preserve">            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>
          <w:b w:val="false"/>
        </w:rPr>
        <w:t xml:space="preserve">    </w:t>
      </w:r>
      <w:r>
        <w:rPr>
          <w:rStyle w:val="41"/>
          <w:u w:val="single"/>
        </w:rPr>
        <w:t>Цель:</w:t>
      </w:r>
    </w:p>
    <w:p>
      <w:pPr>
        <w:pStyle w:val="Style28"/>
        <w:shd w:fill="FFFFFF" w:val="clear"/>
        <w:tabs>
          <w:tab w:val="left" w:pos="846" w:leader="none"/>
        </w:tabs>
        <w:spacing w:lineRule="auto" w:line="360"/>
        <w:jc w:val="both"/>
        <w:rPr/>
      </w:pPr>
      <w:r>
        <w:rPr/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  <w:r>
        <w:rPr>
          <w:b/>
        </w:rPr>
        <w:t xml:space="preserve">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/>
        </w:rPr>
        <w:t xml:space="preserve">  </w:t>
      </w:r>
      <w:r>
        <w:rPr>
          <w:b/>
          <w:bCs/>
          <w:i/>
          <w:iCs/>
          <w:u w:val="single"/>
        </w:rPr>
        <w:t>Задачи:</w:t>
      </w:r>
    </w:p>
    <w:p>
      <w:pPr>
        <w:pStyle w:val="Style28"/>
        <w:numPr>
          <w:ilvl w:val="0"/>
          <w:numId w:val="2"/>
        </w:numPr>
        <w:shd w:fill="FFFFFF" w:val="clear"/>
        <w:spacing w:lineRule="auto" w:line="360"/>
        <w:jc w:val="both"/>
        <w:rPr/>
      </w:pPr>
      <w:r>
        <w:rPr/>
        <w:t xml:space="preserve">стимулирование развития эмоциональности, памяти, мышления,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 xml:space="preserve">     </w:t>
      </w:r>
      <w:r>
        <w:rPr/>
        <w:t>воображения и творческой активности при игре в ансамбле;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numPr>
          <w:ilvl w:val="0"/>
          <w:numId w:val="3"/>
        </w:numPr>
        <w:shd w:fill="FFFFFF" w:val="clear"/>
        <w:spacing w:lineRule="auto" w:line="360"/>
        <w:jc w:val="both"/>
        <w:rPr/>
      </w:pPr>
      <w:r>
        <w:rPr/>
        <w:t>формирование у обучающихся комплекса исполнительских навыков,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 xml:space="preserve">      </w:t>
      </w:r>
      <w:r>
        <w:rPr/>
        <w:t>необходимых для ансамблевого музицирования;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расширение кругозора учащегося путем ознакомления с ансамблевым    репертуаром;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развитие чувства ансамбля (чувства партнерства при игре в ансамбле), артистизма и музыкальности;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обучение навыкам самостоятельной работы, а также навыкам чтения с листа в ансамбле;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>приобретение обучающимися опыта творческой деятельности и публичных выступлений в сфере ансамблевого музицирования;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 xml:space="preserve">формирование у наиболее одаренных выпускников профессионального исполнительского комплекса  солиста ансамбля. 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ab/>
        <w:t>Учебный предмет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(кларнет )</w:t>
      </w:r>
      <w:r>
        <w:rPr/>
        <w:t>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«Духовые и ударные инструменты».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Предмет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(кларнет)</w:t>
      </w:r>
      <w:r>
        <w:rPr/>
        <w:t xml:space="preserve">» расширяет границы творческого общения оркестрантов  с учащимися других отделений учебного заведения, привлекая к сотрудничеству  пианистов и исполнителей на других инструментах.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Занятия в ансамбле - накопление опыта коллективного музицирования, ступень для подготовки игры в оркестре.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870" w:leader="none"/>
        </w:tabs>
        <w:spacing w:lineRule="exact" w:line="270"/>
        <w:rPr/>
      </w:pPr>
      <w:bookmarkStart w:id="0" w:name="bookmark1"/>
      <w:bookmarkEnd w:id="0"/>
      <w:r>
        <w:rPr/>
        <w:t>Обоснование структуры учебного предмета</w:t>
      </w:r>
    </w:p>
    <w:p>
      <w:pPr>
        <w:pStyle w:val="15"/>
        <w:shd w:fill="FFFFFF" w:val="clear"/>
        <w:tabs>
          <w:tab w:val="left" w:pos="870" w:leader="none"/>
        </w:tabs>
        <w:spacing w:lineRule="exact" w:line="270"/>
        <w:rPr/>
      </w:pPr>
      <w:r>
        <w:rPr/>
      </w:r>
    </w:p>
    <w:p>
      <w:pPr>
        <w:pStyle w:val="Default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Программа «Духовые и ударные инструменты» определяет содержание и организацию образовательного процесса в ОУ, направлена на творческое, эстетическое, духовно-нравственное развитие обучающихся, создание </w:t>
      </w:r>
      <w:r>
        <w:rPr>
          <w:sz w:val="28"/>
          <w:szCs w:val="28"/>
        </w:rPr>
        <w:t>основы для приобретения ими опыта ансамблевой практики, самостоятельной работы по изучению и постижению музыкального искусства.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Программа содержит следующие разделы: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>сведения о затратах учебного времени, предусмотренного на освоение    учебного предмета;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>
          <w:i/>
        </w:rPr>
        <w:t xml:space="preserve"> </w:t>
      </w:r>
      <w:r>
        <w:rPr/>
        <w:t>распределение учебного материала по годам обучения;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>
          <w:i/>
        </w:rPr>
        <w:t xml:space="preserve">     </w:t>
      </w:r>
      <w:r>
        <w:rPr/>
        <w:t>описание дидактических единиц учебного предмета;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требования к уровню подготовки обучающихся;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формы и методы контроля, система оценок;</w:t>
      </w:r>
    </w:p>
    <w:p>
      <w:pPr>
        <w:pStyle w:val="Style28"/>
        <w:numPr>
          <w:ilvl w:val="0"/>
          <w:numId w:val="5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</w:t>
      </w:r>
      <w:r>
        <w:rPr/>
        <w:t>методическое обеспечение учебного процесса.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 xml:space="preserve">    </w:t>
      </w:r>
      <w:r>
        <w:rPr/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widowControl w:val="false"/>
        <w:shd w:fill="FFFFFF" w:val="clear"/>
        <w:tabs>
          <w:tab w:val="left" w:pos="870" w:leader="none"/>
        </w:tabs>
        <w:suppressAutoHyphens w:val="true"/>
        <w:spacing w:lineRule="exact" w:line="480"/>
        <w:ind w:left="0" w:right="0" w:firstLine="283"/>
        <w:jc w:val="both"/>
        <w:rPr/>
      </w:pPr>
      <w:bookmarkStart w:id="1" w:name="bookmark2"/>
      <w:bookmarkEnd w:id="1"/>
      <w:r>
        <w:rPr/>
        <w:t>Методы обучения</w:t>
      </w:r>
    </w:p>
    <w:p>
      <w:pPr>
        <w:pStyle w:val="Style28"/>
        <w:widowControl w:val="false"/>
        <w:shd w:fill="FFFFFF" w:val="clear"/>
        <w:suppressAutoHyphens w:val="true"/>
        <w:spacing w:lineRule="exact" w:line="504"/>
        <w:ind w:left="0" w:right="0" w:hanging="0"/>
        <w:jc w:val="both"/>
        <w:rPr/>
      </w:pPr>
      <w:r>
        <w:rPr/>
        <w:t>Выбор методов обучения по предмету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(кларнет)</w:t>
      </w:r>
      <w:r>
        <w:rPr/>
        <w:t>» зависит от: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300" w:leader="none"/>
          <w:tab w:val="left" w:pos="564" w:leader="none"/>
          <w:tab w:val="left" w:pos="624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возраста учащихся;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  <w:tab w:val="left" w:pos="336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их индивидуальных способностей;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от состава ансамбля;</w:t>
      </w:r>
    </w:p>
    <w:p>
      <w:pPr>
        <w:pStyle w:val="Style28"/>
        <w:widowControl w:val="false"/>
        <w:numPr>
          <w:ilvl w:val="0"/>
          <w:numId w:val="6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от количества участников ансамбля.</w:t>
      </w:r>
    </w:p>
    <w:p>
      <w:pPr>
        <w:pStyle w:val="Style28"/>
        <w:widowControl w:val="false"/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словесный (рассказ, объяснение);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метод показа;</w:t>
      </w:r>
    </w:p>
    <w:p>
      <w:pPr>
        <w:pStyle w:val="Style28"/>
        <w:widowControl w:val="false"/>
        <w:numPr>
          <w:ilvl w:val="0"/>
          <w:numId w:val="7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частично - поисковый (ученики участвуют в поисках решения поставленной задачи).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42"/>
        <w:shd w:fill="FFFFFF" w:val="clear"/>
        <w:tabs>
          <w:tab w:val="left" w:pos="1028" w:leader="none"/>
        </w:tabs>
        <w:rPr/>
      </w:pPr>
      <w:r>
        <w:rPr/>
        <w:t>Описание материально - технических условий реализации учебного предмета «Ансамбль</w:t>
      </w:r>
      <w:r>
        <w:rPr>
          <w:i w:val="false"/>
          <w:iCs w:val="false"/>
        </w:rPr>
        <w:t xml:space="preserve"> </w:t>
      </w:r>
      <w:r>
        <w:rPr>
          <w:b/>
          <w:bCs/>
          <w:i/>
          <w:iCs/>
          <w:sz w:val="28"/>
          <w:szCs w:val="28"/>
        </w:rPr>
        <w:t>(кларнет)</w:t>
      </w:r>
      <w:r>
        <w:rPr/>
        <w:t>»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28"/>
        <w:shd w:fill="FFFFFF" w:val="clear"/>
        <w:spacing w:lineRule="auto" w:line="360" w:before="57" w:after="57"/>
        <w:jc w:val="both"/>
        <w:rPr/>
      </w:pPr>
      <w:r>
        <w:rPr/>
        <w:t>В образовательном учреждении с полной комплектацией учеников по всем духовым инструментам должно быть достаточное количество высококачественных оркестровых духовых и ударных инструментов, а также должны быть созданы условия для их содержания, своевременного обслуживания и ремонта.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exact" w:line="270"/>
        <w:jc w:val="center"/>
        <w:rPr>
          <w:b/>
          <w:b/>
        </w:rPr>
      </w:pPr>
      <w:bookmarkStart w:id="2" w:name="bookmark3"/>
      <w:bookmarkEnd w:id="2"/>
      <w:r>
        <w:rPr>
          <w:b/>
        </w:rPr>
        <w:t>Содержание учебного предмета</w:t>
      </w:r>
    </w:p>
    <w:p>
      <w:pPr>
        <w:pStyle w:val="24"/>
        <w:shd w:fill="FFFFFF" w:val="clear"/>
        <w:tabs>
          <w:tab w:val="left" w:pos="3205" w:leader="none"/>
        </w:tabs>
        <w:spacing w:lineRule="exact" w:line="270"/>
        <w:jc w:val="center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Основные составы ансамблей, наиболее практикуемые в детских школах искусств — дуэты, трио. Реже — квартеты, квинтеты и т. д. </w:t>
      </w:r>
    </w:p>
    <w:p>
      <w:pPr>
        <w:pStyle w:val="24"/>
        <w:shd w:fill="FFFFFF" w:val="clear"/>
        <w:tabs>
          <w:tab w:val="left" w:pos="3205" w:leader="none"/>
        </w:tabs>
        <w:spacing w:lineRule="auto" w:line="360"/>
        <w:rPr/>
      </w:pPr>
      <w:r>
        <w:rPr>
          <w:b w:val="false"/>
          <w:bCs w:val="false"/>
        </w:rPr>
        <w:t>Ансамбли могут быть составлены как из однородных инструментов, так и из различных групп инструментов (</w:t>
      </w:r>
      <w:r>
        <w:rPr/>
        <w:t>куда также могут входить струнные и народные инструменты).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Инструментальный состав, количество участников в ансамбле могут варьироваться.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>
          <w:rStyle w:val="Style18"/>
        </w:rPr>
        <w:t>Сведения о затратах учебного времени,</w:t>
      </w:r>
      <w:r>
        <w:rPr/>
        <w:t xml:space="preserve"> </w:t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/>
        <w:t>предусмотренного на освоение учебного предмета «Ансамбль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(саксофон)</w:t>
      </w:r>
      <w:r>
        <w:rPr/>
        <w:t>», на максимальную, самостоятельную нагрузку обучающихся и аудиторные занятия:</w:t>
      </w:r>
    </w:p>
    <w:p>
      <w:pPr>
        <w:pStyle w:val="Style28"/>
        <w:shd w:fill="FFFFFF" w:val="clear"/>
        <w:tabs>
          <w:tab w:val="left" w:pos="1362" w:leader="none"/>
        </w:tabs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center"/>
        <w:rPr/>
      </w:pPr>
      <w:r>
        <w:rPr>
          <w:rStyle w:val="Style18"/>
        </w:rPr>
        <w:t>Срок обучения - 5  лет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left"/>
        <w:rPr/>
      </w:pPr>
      <w:r>
        <w:rPr>
          <w:rStyle w:val="Style18"/>
        </w:rPr>
        <w:t xml:space="preserve"> </w:t>
      </w:r>
      <w:r>
        <w:rPr/>
        <w:t>Аудиторные занятия: со 2 по 5 класс - 1 час в неделю.</w:t>
      </w:r>
    </w:p>
    <w:p>
      <w:pPr>
        <w:pStyle w:val="Style28"/>
        <w:widowControl w:val="false"/>
        <w:shd w:fill="FFFFFF" w:val="clear"/>
        <w:tabs>
          <w:tab w:val="left" w:pos="0" w:leader="none"/>
        </w:tabs>
        <w:suppressAutoHyphens w:val="true"/>
        <w:spacing w:lineRule="auto" w:line="360"/>
        <w:ind w:left="0" w:right="0" w:firstLine="283"/>
        <w:jc w:val="both"/>
        <w:rPr/>
      </w:pPr>
      <w:r>
        <w:rPr/>
        <w:t>Самостоятельные занятия: с 2 по 5 класс - 1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both"/>
        <w:rPr/>
      </w:pPr>
      <w:r>
        <w:rPr/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>
      <w:pPr>
        <w:pStyle w:val="42"/>
        <w:shd w:fill="FFFFFF" w:val="clear"/>
        <w:rPr/>
      </w:pPr>
      <w:r>
        <w:rPr/>
        <w:t>Виды внеаудиторной работы: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выполнение домашнего задания;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подготовка к концертным выступлениям;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76" w:leader="none"/>
          <w:tab w:val="center" w:pos="5366" w:leader="none"/>
          <w:tab w:val="right" w:pos="8010" w:leader="none"/>
          <w:tab w:val="right" w:pos="9633" w:leader="none"/>
        </w:tabs>
        <w:suppressAutoHyphens w:val="true"/>
        <w:spacing w:lineRule="exact" w:line="480"/>
        <w:ind w:left="0" w:right="0" w:hanging="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посещение учреждений культуры </w:t>
        <w:tab/>
        <w:t>(филармоний, театров, концертных залов и др.);</w:t>
      </w:r>
    </w:p>
    <w:p>
      <w:pPr>
        <w:pStyle w:val="42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>
      <w:pPr>
        <w:pStyle w:val="42"/>
        <w:widowControl w:val="false"/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Учебный материал распределяется по годам обучения — классам. Каждый класс имеет свои дидактические задачи и объем времени, предусмотренный для освоения учебного материала.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42"/>
        <w:shd w:fill="FFFFFF" w:val="clear"/>
        <w:tabs>
          <w:tab w:val="left" w:pos="1089" w:leader="none"/>
        </w:tabs>
        <w:spacing w:lineRule="auto" w:line="360"/>
        <w:jc w:val="left"/>
        <w:rPr/>
      </w:pPr>
      <w:r>
        <w:rPr/>
        <w:t>Требования по годам обучения</w:t>
      </w:r>
    </w:p>
    <w:p>
      <w:pPr>
        <w:pStyle w:val="42"/>
        <w:shd w:fill="FFFFFF" w:val="clear"/>
        <w:tabs>
          <w:tab w:val="left" w:pos="1089" w:leader="none"/>
        </w:tabs>
        <w:spacing w:lineRule="exact" w:line="270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5"/>
        <w:ind w:left="0" w:right="0" w:hanging="0"/>
        <w:jc w:val="both"/>
        <w:rPr/>
      </w:pPr>
      <w:r>
        <w:rPr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>
      <w:pPr>
        <w:pStyle w:val="Style28"/>
        <w:shd w:fill="FFFFFF" w:val="clear"/>
        <w:tabs>
          <w:tab w:val="left" w:pos="1089" w:leader="none"/>
        </w:tabs>
        <w:spacing w:lineRule="exact" w:line="480"/>
        <w:jc w:val="both"/>
        <w:rPr>
          <w:rStyle w:val="41"/>
          <w:b/>
          <w:b/>
          <w:bCs/>
        </w:rPr>
      </w:pPr>
      <w:r>
        <w:rPr>
          <w:rFonts w:cs="Times New Roman"/>
          <w:sz w:val="28"/>
          <w:szCs w:val="28"/>
        </w:rPr>
      </w:r>
    </w:p>
    <w:p>
      <w:pPr>
        <w:pStyle w:val="42"/>
        <w:shd w:fill="FFFFFF" w:val="clear"/>
        <w:spacing w:lineRule="auto" w:line="360"/>
        <w:jc w:val="center"/>
        <w:rPr/>
      </w:pPr>
      <w:r>
        <w:rPr>
          <w:rStyle w:val="41"/>
          <w:b/>
          <w:bCs/>
        </w:rPr>
        <w:t>Срок обучения – 5 лет</w:t>
      </w:r>
    </w:p>
    <w:p>
      <w:pPr>
        <w:pStyle w:val="42"/>
        <w:shd w:fill="FFFFFF" w:val="clear"/>
        <w:spacing w:lineRule="auto" w:line="360"/>
        <w:jc w:val="center"/>
        <w:rPr/>
      </w:pPr>
      <w:r>
        <w:rPr/>
        <w:t>Годовые требования</w:t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Второй класс (1 час в неделю)</w:t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первого года обучения (2 класс):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8"/>
          <w:szCs w:val="28"/>
          <w:u w:val="none"/>
        </w:rPr>
        <w:t>- Введение: цели, задачи, формы и методы изучения предмета «Ансамбль (</w:t>
      </w:r>
      <w:r>
        <w:rPr>
          <w:b w:val="false"/>
          <w:i w:val="false"/>
          <w:iCs w:val="false"/>
          <w:strike w:val="false"/>
          <w:dstrike w:val="false"/>
          <w:sz w:val="28"/>
          <w:szCs w:val="28"/>
          <w:u w:val="none"/>
        </w:rPr>
        <w:t>кларнет)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».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-Становление ансамбля: формирование состава ансамбля (подбор обучающихся, близко стоящих друг к другу по характеру, вкусам, интересам, уровню развития и по степени овладения саксофоном или другим духовым инструментом).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Развитие первоначальных музыкально – исполнительских навыков игры в ансамбле: «солирование» - когда нужно ярче выявить свою партию, и умение отойти на второй план ради единого целого.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простейших ансамблей с концертмейстером, добиваясь при этом одинаковых ощущений характера и темпа произведения.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-Развитие умение обучающегося передать в пьесе замысел композитора за счёт средств музыкальной выразительности (штрихов, динамики).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6 -7 ансамблей разных жанров, в разной степени готовности: пьесы, обработки народных песен и танцев. По мере готовности репертуара обучающихся, рекомендуется участие ансамбля в форме выступления в школьных мероприятиях.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«Сулико» грузинская народная песня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«Лен зеленый» РНП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«Над ричкою бережком» украинская народная песня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«Перепелочка» белорусская народная песня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Майкапар С. «В садике» для 3-х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Моцарт В. «Майская песня» для 3-х кларнетов</w:t>
      </w:r>
    </w:p>
    <w:p>
      <w:pPr>
        <w:pStyle w:val="Style28"/>
        <w:shd w:fill="FFFFFF" w:val="clear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Третий класс (1 час в неделю)</w:t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второго года обучения (3 класс)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Освоение основных приёмов игры в ансамбле: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-Развитие навыков игры в дуэте с другим обучающимся: умение слушать себя и партнёра, ясно прослушивая главную мелодическую линию.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-Развитие приёмов достижения синхронности ансамблевого звучания (при рассмотрении проблемы синхронного исполнения нужно выделить три </w:t>
      </w:r>
      <w:r>
        <w:rPr>
          <w:sz w:val="28"/>
          <w:szCs w:val="28"/>
        </w:rPr>
        <w:t xml:space="preserve">момента: как начать пьесу, как играть вместе и как закончить произведение вместе).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-Работа над средствами музыкальной выразительности (темп, динамика, ритм, фразировка, штрих).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Приобретение навыков чтения нот с листа.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разной степени сложности и готовности, разных жанров и стилей: произведения эпохи барокко, пьесы современных композиторов, эстрадные произведения, обработки народных песен и танцев. Рекомендуются концертные выступления различного вида уровней (по мере степени подготовки обучающихся).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«Со вьюном я хожу» РНП для флейты, 4 кларнетов, бас-гитары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Глинка М. «Гимн великому городу» для 4-х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Шостакович Д. «Гавот» для 2-х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Глюк С. «Танец счастливых духов» для 4-х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Чайковский П. «Танец маленьких лебедей» для 4-х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shd w:fill="FFFFFF" w:val="clear"/>
        <w:tabs>
          <w:tab w:val="left" w:pos="293" w:leader="none"/>
        </w:tabs>
        <w:spacing w:lineRule="auto" w:line="360"/>
        <w:jc w:val="both"/>
        <w:rPr>
          <w:b/>
          <w:b/>
        </w:rPr>
      </w:pPr>
      <w:r>
        <w:rPr>
          <w:b/>
        </w:rPr>
        <w:t>Четвертый класс (1 час в неделю)</w:t>
      </w:r>
    </w:p>
    <w:p>
      <w:pPr>
        <w:pStyle w:val="Default"/>
        <w:spacing w:lineRule="auto" w:line="360"/>
        <w:jc w:val="both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Задачи третьего года обучения (4 класс)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>- Знакомство с вариационной формой с включением технических сложностей (восьмые, шестнадцатые).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навыков ансамблевой игры: продолжение развития умения обучающихся играть вместе, добиваясь единства поставленных художественных задач и эмоционального состояния произведения.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Развитие умения технического овладения произведением: определять характер и форму музыки, тональность, выявить главные и побочные темы, установить темп, уяснить смысл и функцию каждой партии ансамбля.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Организация концертной деятельности, так как это способствует свободному общению музыкантов, творческому росту и заинтересованности их в ансамблевой игре. </w:t>
      </w:r>
    </w:p>
    <w:p>
      <w:pPr>
        <w:pStyle w:val="Default"/>
        <w:spacing w:lineRule="auto" w:line="360"/>
        <w:jc w:val="both"/>
        <w:rPr>
          <w:strike w:val="false"/>
          <w:dstrike w:val="false"/>
          <w:sz w:val="28"/>
          <w:szCs w:val="28"/>
          <w:u w:val="none"/>
        </w:rPr>
      </w:pPr>
      <w:r>
        <w:rPr>
          <w:strike w:val="false"/>
          <w:dstrike w:val="false"/>
          <w:sz w:val="28"/>
          <w:szCs w:val="28"/>
          <w:u w:val="none"/>
        </w:rPr>
        <w:t xml:space="preserve">- Совершенствование навыков чтения нот с листа.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b w:val="false"/>
          <w:b w:val="false"/>
          <w:b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разных жанров и стилей: произведения эпохи барокко, венских классиков, пьесы современных композиторов, эстрадные произведения, обработки народных песен и танцев. Чтение с листа несложных произведений. По мере готовности репертуара обучающихся, рекомендуется участие в форме выступления в концертах и конкурсах различного уровня.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Глазунов А. «Пиццикатто» из балета «Раймонда» для 2-х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Ребиков В. «Вальс» из сказки «Елка» для 2-х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Миллер Г. «Лунная серенада» для 3-х кларнетов и фортепиано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Овинг Ю. «Парад кларнетов» для 4-х кларнетов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Штраус Р. «Полька-пиццикатто» для 4-х кларнетов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ind w:left="-38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Пятый класс (1 час в неделю)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произведениями различных жанров: эпохи барокко, венских классиков, обработки народных песен и танцев, популярные мелодии, эстрадные пьесы.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-Формирование двигательных навыков.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развития умения технического овладения произведением: тщательная проработка текста, штрихов, ритма, определение аппликатуры.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средствами музыкальной выразительности: стремление воспроизвести все динамические и агогические оттенки и фразировку.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Необходимо также научиться свободно и выразительно петь каждую партию ансамбля и общую мелодическую линию произведения. </w:t>
      </w:r>
    </w:p>
    <w:p>
      <w:pPr>
        <w:pStyle w:val="Default"/>
        <w:shd w:fill="FFFFFF" w:val="clear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2-3 ансамбля разных жанров и стилей: пьесы современных композиторов, эстрадные произведения, обработки народных песен и танцев. Рекомендуется участие в форме выступления в концертах и конкурсах различного уровня. </w:t>
      </w:r>
    </w:p>
    <w:p>
      <w:pPr>
        <w:pStyle w:val="Default"/>
        <w:shd w:fill="FFFFFF" w:val="clear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Рахманинов С. «Итальянская полька» для 2-х кларнетов, 2-х саксофонов, флейты и фортепиано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Глазунов А. «Антракт» из балета «Раймонда» для 2-х кларнетов и фортепиано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Уоррен Г. «Чаттануга Чу-чу» для 2-х кларнетов и фортепиано</w:t>
      </w:r>
    </w:p>
    <w:p>
      <w:pPr>
        <w:pStyle w:val="Default"/>
        <w:spacing w:lineRule="auto" w:line="360" w:before="0" w:after="19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Эллингтог Д. «Грустное настроение» для 2-х кларнетов</w:t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итогового зачета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На зачете и академическом концерте исполняется 1 произведение.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Примерная программа зачета (4 полугодие)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Моцарт В. «Майская песня» для 3-х кларнетов</w:t>
      </w:r>
    </w:p>
    <w:p>
      <w:pPr>
        <w:pStyle w:val="Default"/>
        <w:spacing w:lineRule="auto" w:line="360"/>
        <w:jc w:val="both"/>
        <w:rPr/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Примерная программа контрольного урока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(6 полугодие)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Шостакович Д. «Гавот» для 2-х кларнетов</w:t>
      </w:r>
    </w:p>
    <w:p>
      <w:pPr>
        <w:pStyle w:val="Default"/>
        <w:spacing w:lineRule="auto" w:line="360"/>
        <w:jc w:val="both"/>
        <w:rPr/>
      </w:pPr>
      <w:r>
        <w:rPr>
          <w:b w:val="false"/>
          <w:bCs w:val="false"/>
          <w:strike w:val="false"/>
          <w:dstrike w:val="false"/>
          <w:sz w:val="28"/>
          <w:szCs w:val="28"/>
          <w:u w:val="none"/>
        </w:rPr>
        <w:t>Примерная программа дифференцированного зачёта</w:t>
      </w:r>
      <w:r>
        <w:rPr>
          <w:b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strike w:val="false"/>
          <w:dstrike w:val="false"/>
          <w:sz w:val="28"/>
          <w:szCs w:val="28"/>
          <w:u w:val="none"/>
        </w:rPr>
        <w:t xml:space="preserve">(8 полугодие) 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Глазунов А. «Пиццикатто» из балета «Раймонда» для 2-х кларнетов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Примерная программа зачёта</w:t>
      </w:r>
      <w:r>
        <w:rPr>
          <w:rFonts w:ascii="Times New Roman" w:hAnsi="Times New Roman"/>
          <w:sz w:val="28"/>
          <w:szCs w:val="28"/>
        </w:rPr>
        <w:t>(10 полугодие)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</w:rPr>
        <w:t>Делиб Л. «Вариации» из балета «Ручей» для 2-х кларнетов</w:t>
      </w:r>
    </w:p>
    <w:p>
      <w:pPr>
        <w:pStyle w:val="Default"/>
        <w:spacing w:lineRule="auto" w:line="360"/>
        <w:jc w:val="both"/>
        <w:rPr>
          <w:rFonts w:cs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/>
          <w:b w:val="false"/>
          <w:strike w:val="false"/>
          <w:dstrike w:val="false"/>
          <w:sz w:val="28"/>
          <w:szCs w:val="28"/>
          <w:u w:val="none"/>
        </w:rPr>
        <w:t xml:space="preserve">Консультации проводятся для обучающихся с целью их подготовки к контрольным урокам, зачётам, творческим конкурсам и другим мероприятиям в счёт резерва учебного времени в объёме 8 часов. </w:t>
      </w:r>
    </w:p>
    <w:p>
      <w:pPr>
        <w:pStyle w:val="Style28"/>
        <w:shd w:fill="FFFFFF" w:val="clear"/>
        <w:spacing w:lineRule="auto" w:line="24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jc w:val="center"/>
        <w:rPr/>
      </w:pPr>
      <w:bookmarkStart w:id="3" w:name="bookmark22"/>
      <w:r>
        <w:rPr>
          <w:b/>
        </w:rPr>
        <w:t>Требования к уровню подготовки обучающихся</w:t>
      </w:r>
      <w:bookmarkEnd w:id="3"/>
      <w:r>
        <w:rPr>
          <w:b/>
        </w:rPr>
        <w:t>:</w:t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По окончанию курса данной образовательной программы обучающийся должен приобрести следующие знания, умения и навыки: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единства исполнительских намерений и реализации единого исполнительского замысла;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разнообразного ансамблевого репертуара, что способствует воспитанию коллективного творчества;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-знание профессиональной терминологии;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слышать целостную музыкальную фактуру в результате контрастной функции голосов;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ощущать целостность музыкальной формы произведения;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слушать и слышать всю партитуру ансамбля;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контролировать синхронность совместной игры;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чувствовать солиста или второго участника ансамбля, добиваясь единства поставленных художественных задач;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анализировать музыкальное произведение, его форму (границы фраз, предложений, частей);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определять стиль, манеру, характер исполнения, понимать музыкальные образы;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грамотно и выразительно исполнять произведения различных жанров и направлений;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 умение грамотно читать с листа музыкальные произведения; </w:t>
      </w:r>
    </w:p>
    <w:p>
      <w:pPr>
        <w:pStyle w:val="Default"/>
        <w:spacing w:lineRule="auto" w:line="360"/>
        <w:jc w:val="both"/>
        <w:rPr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strike w:val="false"/>
          <w:dstrike w:val="false"/>
          <w:sz w:val="28"/>
          <w:szCs w:val="28"/>
          <w:u w:val="none"/>
        </w:rPr>
        <w:t xml:space="preserve">-умение понимать смысл и функцию каждой партии ансамбля и аккомпанемента; </w:t>
      </w:r>
    </w:p>
    <w:p>
      <w:pPr>
        <w:pStyle w:val="Default"/>
        <w:keepNext w:val="true"/>
        <w:keepLines/>
        <w:shd w:fill="FFFFFF" w:val="clear"/>
        <w:tabs>
          <w:tab w:val="left" w:pos="1910" w:leader="none"/>
        </w:tabs>
        <w:spacing w:lineRule="auto" w:line="360"/>
        <w:jc w:val="both"/>
        <w:rPr>
          <w:b w:val="false"/>
          <w:b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-умение определять соотношение голосов с точки зрения динамики, какой голос должен звучать на первом плане, какой на втором. 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1896" w:leader="none"/>
        </w:tabs>
        <w:spacing w:lineRule="exact" w:line="485"/>
        <w:jc w:val="center"/>
        <w:rPr>
          <w:b/>
          <w:b/>
        </w:rPr>
      </w:pPr>
      <w:bookmarkStart w:id="4" w:name="bookmark23"/>
      <w:bookmarkEnd w:id="4"/>
      <w:r>
        <w:rPr>
          <w:b/>
        </w:rPr>
        <w:t>Формы и методы контроля, система оценок</w:t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/>
      </w:pPr>
      <w:r>
        <w:rPr>
          <w:b/>
        </w:rPr>
        <w:t xml:space="preserve"> </w:t>
      </w:r>
      <w:r>
        <w:rPr>
          <w:rStyle w:val="Style18"/>
        </w:rPr>
        <w:t>Аттестация: цели, виды, форма, содержание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>
          <w:rStyle w:val="Style18"/>
        </w:rPr>
        <w:t xml:space="preserve"> 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/>
        <w:t>Основными видами контроля успеваемости являются: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текущий контроль успеваемости учащихся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промежуточная аттестация</w:t>
      </w:r>
    </w:p>
    <w:p>
      <w:pPr>
        <w:pStyle w:val="Style28"/>
        <w:numPr>
          <w:ilvl w:val="0"/>
          <w:numId w:val="10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итоговая аттестация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Каждый вид контроля имеет свои цели, задачи, формы.</w:t>
      </w:r>
    </w:p>
    <w:p>
      <w:pPr>
        <w:pStyle w:val="Style28"/>
        <w:shd w:fill="FFFFFF" w:val="clear"/>
        <w:spacing w:lineRule="exact" w:line="480"/>
        <w:jc w:val="both"/>
        <w:rPr/>
      </w:pPr>
      <w:r>
        <w:rPr>
          <w:b/>
          <w:bCs/>
        </w:rPr>
        <w:t>Текущий контроль успеваемости учащихся</w:t>
      </w:r>
      <w:r>
        <w:rPr/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отношение ребенка к занятиям, его старания и прилежность;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качество выполнения предложенных заданий;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инициативность и проявление самостоятельности как на уроке, так и во время домашней работы;</w:t>
      </w:r>
    </w:p>
    <w:p>
      <w:pPr>
        <w:pStyle w:val="Style28"/>
        <w:numPr>
          <w:ilvl w:val="0"/>
          <w:numId w:val="11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темпы продвижения.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На основании результатов текущего контроля выводятся четверные оценки.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Особой формой текущего контроля является контрольный урок, который проводится преподавателем, ведущим предмет.</w:t>
      </w:r>
    </w:p>
    <w:p>
      <w:pPr>
        <w:pStyle w:val="Style28"/>
        <w:shd w:fill="FFFFFF" w:val="clear"/>
        <w:spacing w:lineRule="exact" w:line="480"/>
        <w:jc w:val="left"/>
        <w:rPr/>
      </w:pPr>
      <w:r>
        <w:rPr>
          <w:b/>
        </w:rPr>
        <w:t>Промежуточная аттестация</w:t>
      </w:r>
      <w:r>
        <w:rPr/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экзамены.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Каждая форма проверки(кроме переводного экзамена) может быть как дифференцированна (с оценкой), так и недифференцированной.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занятий, то есть по окончании проведения учебных занятий в учебном году, в рамках промежуточной (экзаменационной) аттестации.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 экзамену допускаются учащиеся, полностью выполнившие все учебные задания.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>
      <w:pPr>
        <w:pStyle w:val="42"/>
        <w:shd w:fill="FFFFFF" w:val="clear"/>
        <w:tabs>
          <w:tab w:val="left" w:pos="1090" w:leader="none"/>
        </w:tabs>
        <w:jc w:val="left"/>
        <w:rPr/>
      </w:pPr>
      <w:r>
        <w:rPr/>
        <w:t xml:space="preserve"> </w:t>
      </w:r>
      <w:r>
        <w:rPr/>
        <w:t>Критерии оценок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>
      <w:pPr>
        <w:pStyle w:val="42"/>
        <w:shd w:fill="FFFFFF" w:val="clear"/>
        <w:jc w:val="left"/>
        <w:rPr/>
      </w:pPr>
      <w:r>
        <w:rPr/>
        <w:t>Критерии оценки качества исполнения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>
      <w:pPr>
        <w:pStyle w:val="16"/>
        <w:shd w:fill="FFFFFF" w:val="clear"/>
        <w:spacing w:lineRule="exact" w:line="270"/>
        <w:jc w:val="left"/>
        <w:rPr/>
      </w:pPr>
      <w:r>
        <w:rPr/>
      </w:r>
    </w:p>
    <w:tbl>
      <w:tblPr>
        <w:tblW w:w="10153" w:type="dxa"/>
        <w:jc w:val="left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347"/>
        <w:gridCol w:w="6806"/>
      </w:tblGrid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/>
            </w:pPr>
            <w:r>
              <w:rPr>
                <w:rStyle w:val="31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</w:t>
            </w:r>
          </w:p>
        </w:tc>
      </w:tr>
      <w:tr>
        <w:trPr>
          <w:trHeight w:val="3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Отметка отражает грамотное исполнение с небольшими недочетами (как техническом плане, так и в художественном)</w:t>
            </w:r>
          </w:p>
        </w:tc>
      </w:tr>
      <w:tr>
        <w:trPr>
          <w:trHeight w:val="18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>
        <w:trPr>
          <w:trHeight w:val="1625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>
        <w:trPr>
          <w:trHeight w:val="1140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высткпление учащегося.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27"/>
        <w:jc w:val="left"/>
        <w:rPr/>
      </w:pPr>
      <w:r>
        <w:rPr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jc w:val="center"/>
        <w:rPr>
          <w:b/>
          <w:b/>
        </w:rPr>
      </w:pPr>
      <w:bookmarkStart w:id="5" w:name="bookmark24"/>
      <w:bookmarkEnd w:id="5"/>
      <w:r>
        <w:rPr>
          <w:b/>
        </w:rPr>
        <w:t>Методическое обеспечение учебного процесса</w:t>
      </w:r>
    </w:p>
    <w:p>
      <w:pPr>
        <w:pStyle w:val="42"/>
        <w:shd w:fill="FFFFFF" w:val="clear"/>
        <w:tabs>
          <w:tab w:val="left" w:pos="974" w:leader="none"/>
        </w:tabs>
        <w:rPr/>
      </w:pPr>
      <w:r>
        <w:rPr/>
        <w:t>Методические рекомендации педагогическим работникам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340"/>
        <w:jc w:val="both"/>
        <w:rPr/>
      </w:pPr>
      <w:r>
        <w:rPr/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 (кларнет)» составляет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 xml:space="preserve">В целях расширения музыкального кругозора и развития навыков чтения нот с 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листа желательно знакомство учеников с большим числом произведений, не доводя их до уровня концертного выступления.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303" w:leader="none"/>
        </w:tabs>
        <w:spacing w:lineRule="exact" w:line="480"/>
        <w:rPr/>
      </w:pPr>
      <w:bookmarkStart w:id="6" w:name="bookmark25"/>
      <w:bookmarkEnd w:id="6"/>
      <w:r>
        <w:rPr/>
        <w:t>Рекомендации по организации самостоятельной работы обучающихся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  <w:t>Списки рекомендуемой учебной и методической литературы</w:t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28"/>
        <w:shd w:fill="FFFFFF" w:val="clear"/>
        <w:tabs>
          <w:tab w:val="left" w:pos="346" w:leader="none"/>
        </w:tabs>
        <w:spacing w:lineRule="exact" w:line="480"/>
        <w:jc w:val="both"/>
        <w:rPr>
          <w:b/>
          <w:b/>
        </w:rPr>
      </w:pPr>
      <w:r>
        <w:rPr>
          <w:b/>
        </w:rPr>
        <w:t>Методическая литература.</w:t>
      </w:r>
    </w:p>
    <w:p>
      <w:pPr>
        <w:pStyle w:val="Normal"/>
        <w:numPr>
          <w:ilvl w:val="0"/>
          <w:numId w:val="0"/>
        </w:numPr>
        <w:shd w:fill="FFFFFF" w:val="clear"/>
        <w:tabs>
          <w:tab w:val="left" w:pos="346" w:leader="none"/>
        </w:tabs>
        <w:spacing w:lineRule="exact" w:line="480"/>
        <w:ind w:left="72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Розанов. Школа игры на кларнете. 2 ч.  – М., 1976</w:t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Сухомлинский В.А. Сердце отдаю детям. 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8"/>
        <w:widowControl w:val="false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Хрестоматия по этик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</w:p>
    <w:p>
      <w:pPr>
        <w:pStyle w:val="Style28"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1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17"/>
        </w:numPr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pacing w:val="-3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Style28"/>
        <w:shd w:fill="FFFFFF" w:val="clear"/>
        <w:tabs>
          <w:tab w:val="left" w:pos="346" w:leader="none"/>
        </w:tabs>
        <w:spacing w:lineRule="exact" w:line="480"/>
        <w:jc w:val="both"/>
        <w:rPr>
          <w:b/>
          <w:b/>
        </w:rPr>
      </w:pPr>
      <w:r>
        <w:rPr>
          <w:b/>
        </w:rPr>
      </w:r>
    </w:p>
    <w:p>
      <w:pPr>
        <w:pStyle w:val="Style28"/>
        <w:shd w:fill="FFFFFF" w:val="clear"/>
        <w:spacing w:lineRule="exact" w:line="480"/>
        <w:ind w:left="0" w:right="0" w:hanging="0"/>
        <w:jc w:val="both"/>
        <w:rPr/>
      </w:pPr>
      <w:r>
        <w:rPr>
          <w:b/>
        </w:rPr>
        <w:t>Рекомендуемая учебная литература  (</w:t>
      </w:r>
      <w:r>
        <w:rPr/>
        <w:t>Сборники, хрестоматии, школы)</w:t>
      </w:r>
    </w:p>
    <w:p>
      <w:pPr>
        <w:pStyle w:val="Style28"/>
        <w:shd w:fill="FFFFFF" w:val="clear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8"/>
        <w:numPr>
          <w:ilvl w:val="0"/>
          <w:numId w:val="1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«Начальные уроки игры на блокфлейте» - М., «Музыка» 1982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2. И. Оленчик Хрестоматия для блокфлейты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3.  С. Розанов. Школа игры на кларнете. 2 ч.  – М., 1976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4. Н. Платонов Школа игры на флейте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5. М. Шапошникова Хрестоматия для саксофона-альта 1-3 кл 2 ч — М., «Музыка» 2002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6. М. Шапошникова Хрестоматия для саксофона-альта 5-6 кл — М., «Музыка» 1989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7. М. Шапошникова «Музыка в стиле ретро»  — М., «Музыка» 1994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8. В. Сапаров «Волшебные звуки флейты» Часть 2. Пьесы для двух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9. В. Сапаров «Волшебные звуки флейты» Часть 3. Пьесы для трех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10. М. Шапошникова Хрестоматия для саксофона-альта 4-5 кл — М., «Музыка» 1989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hd w:fill="FFFFFF" w:val="clear"/>
        <w:tabs>
          <w:tab w:val="left" w:pos="1079" w:leader="none"/>
        </w:tabs>
        <w:spacing w:lineRule="auto" w:line="360"/>
        <w:ind w:left="211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672" w:right="1478" w:header="0" w:top="0" w:footer="0" w:bottom="3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286"/>
        </w:tabs>
        <w:ind w:left="1286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006"/>
        </w:tabs>
        <w:ind w:left="2006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366"/>
        </w:tabs>
        <w:ind w:left="2366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086"/>
        </w:tabs>
        <w:ind w:left="3086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446"/>
        </w:tabs>
        <w:ind w:left="3446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66CC"/>
      <w:u w:val="single"/>
      <w:lang w:val="zxx" w:eastAsia="zxx" w:bidi="zxx"/>
    </w:rPr>
  </w:style>
  <w:style w:type="character" w:styleId="1">
    <w:name w:val=" Знак Знак1"/>
    <w:qFormat/>
    <w:rPr>
      <w:rFonts w:ascii="Times New Roman" w:hAnsi="Times New Roman" w:cs="Times New Roman"/>
      <w:sz w:val="27"/>
      <w:szCs w:val="27"/>
      <w:u w:val="none"/>
    </w:rPr>
  </w:style>
  <w:style w:type="character" w:styleId="Style16">
    <w:name w:val="Колонтитул_"/>
    <w:qFormat/>
    <w:rPr>
      <w:rFonts w:ascii="Times New Roman" w:hAnsi="Times New Roman" w:cs="Times New Roman"/>
      <w:sz w:val="27"/>
      <w:szCs w:val="27"/>
      <w:u w:val="none"/>
    </w:rPr>
  </w:style>
  <w:style w:type="character" w:styleId="11">
    <w:name w:val="Колонтитул + 11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2">
    <w:name w:val="Основной текст (2)_"/>
    <w:qFormat/>
    <w:rPr>
      <w:rFonts w:ascii="Times New Roman" w:hAnsi="Times New Roman" w:cs="Times New Roman"/>
      <w:b/>
      <w:bCs/>
      <w:sz w:val="35"/>
      <w:szCs w:val="35"/>
      <w:u w:val="none"/>
    </w:rPr>
  </w:style>
  <w:style w:type="character" w:styleId="Style17">
    <w:name w:val="Колонтитул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Tahoma">
    <w:name w:val="Колонтитул + Tahoma"/>
    <w:qFormat/>
    <w:rPr>
      <w:rFonts w:ascii="Tahoma" w:hAnsi="Tahoma" w:cs="Tahoma"/>
      <w:i/>
      <w:iCs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3">
    <w:name w:val="Основной текст (3)_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4pt">
    <w:name w:val="Основной текст (3) + 4 pt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 w:val="8"/>
      <w:szCs w:val="8"/>
      <w:u w:val="none"/>
      <w:vertAlign w:val="baseline"/>
      <w:lang w:val="ru-RU"/>
    </w:rPr>
  </w:style>
  <w:style w:type="character" w:styleId="BodyTextChar">
    <w:name w:val="Body Text Char"/>
    <w:qFormat/>
    <w:rPr>
      <w:rFonts w:cs="Times New Roman"/>
      <w:color w:val="000000"/>
      <w:sz w:val="24"/>
      <w:szCs w:val="24"/>
    </w:rPr>
  </w:style>
  <w:style w:type="character" w:styleId="21">
    <w:name w:val="Заголовок №2_"/>
    <w:qFormat/>
    <w:rPr>
      <w:rFonts w:ascii="Times New Roman" w:hAnsi="Times New Roman" w:cs="Times New Roman"/>
      <w:sz w:val="27"/>
      <w:szCs w:val="27"/>
      <w:u w:val="none"/>
    </w:rPr>
  </w:style>
  <w:style w:type="character" w:styleId="4">
    <w:name w:val="Основной текст (4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8">
    <w:name w:val="Основной текст +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22">
    <w:name w:val="Подпись к таблице (2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9">
    <w:name w:val="Подпись к таблице_"/>
    <w:qFormat/>
    <w:rPr>
      <w:rFonts w:ascii="Times New Roman" w:hAnsi="Times New Roman" w:cs="Times New Roman"/>
      <w:sz w:val="27"/>
      <w:szCs w:val="27"/>
      <w:u w:val="none"/>
    </w:rPr>
  </w:style>
  <w:style w:type="character" w:styleId="41">
    <w:name w:val="Основной текст (4) + Не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12">
    <w:name w:val="Заголовок №1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20">
    <w:name w:val="Основной текст_"/>
    <w:qFormat/>
    <w:rPr>
      <w:rFonts w:ascii="Times New Roman" w:hAnsi="Times New Roman" w:cs="Times New Roman"/>
      <w:sz w:val="27"/>
      <w:szCs w:val="27"/>
    </w:rPr>
  </w:style>
  <w:style w:type="character" w:styleId="Style21">
    <w:name w:val=" Знак Знак"/>
    <w:qFormat/>
    <w:rPr>
      <w:rFonts w:cs="Times New Roman"/>
      <w:color w:val="000000"/>
      <w:sz w:val="24"/>
      <w:szCs w:val="24"/>
    </w:rPr>
  </w:style>
  <w:style w:type="character" w:styleId="31">
    <w:name w:val="Основной текст3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13">
    <w:name w:val="Основной текст + Полужирный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Исходный текст"/>
    <w:qFormat/>
    <w:rPr>
      <w:rFonts w:ascii="Liberation Mono;Courier New" w:hAnsi="Liberation Mono;Courier New" w:eastAsia="NSimSun" w:cs="Liberation Mono;Courier New"/>
    </w:rPr>
  </w:style>
  <w:style w:type="character" w:styleId="Style2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80">
    <w:name w:val="ListLabel 280"/>
    <w:qFormat/>
    <w:rPr>
      <w:rFonts w:cs="OpenSymbol;Arial Unicode MS"/>
      <w:b w:val="false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  <w:b w:val="false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ascii="Times New Roman" w:hAnsi="Times New Roman" w:cs="OpenSymbol;Arial Unicode MS"/>
      <w:b/>
      <w:sz w:val="24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2">
    <w:name w:val="ListLabel 392"/>
    <w:qFormat/>
    <w:rPr>
      <w:rFonts w:cs="OpenSymbol;Arial Unicode MS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rFonts w:cs="OpenSymbol;Arial Unicode MS"/>
    </w:rPr>
  </w:style>
  <w:style w:type="character" w:styleId="ListLabel421">
    <w:name w:val="ListLabel 421"/>
    <w:qFormat/>
    <w:rPr>
      <w:rFonts w:cs="OpenSymbol;Arial Unicode MS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cs="OpenSymbol;Arial Unicode MS"/>
    </w:rPr>
  </w:style>
  <w:style w:type="character" w:styleId="ListLabel430">
    <w:name w:val="ListLabel 430"/>
    <w:qFormat/>
    <w:rPr>
      <w:rFonts w:cs="OpenSymbol;Arial Unicode MS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character" w:styleId="ListLabel433">
    <w:name w:val="ListLabel 433"/>
    <w:qFormat/>
    <w:rPr>
      <w:rFonts w:cs="OpenSymbol;Arial Unicode MS"/>
    </w:rPr>
  </w:style>
  <w:style w:type="character" w:styleId="ListLabel434">
    <w:name w:val="ListLabel 434"/>
    <w:qFormat/>
    <w:rPr>
      <w:rFonts w:cs="OpenSymbol;Arial Unicode MS"/>
    </w:rPr>
  </w:style>
  <w:style w:type="character" w:styleId="ListLabel435">
    <w:name w:val="ListLabel 435"/>
    <w:qFormat/>
    <w:rPr>
      <w:rFonts w:cs="OpenSymbol;Arial Unicode MS"/>
    </w:rPr>
  </w:style>
  <w:style w:type="character" w:styleId="ListLabel436">
    <w:name w:val="ListLabel 436"/>
    <w:qFormat/>
    <w:rPr>
      <w:rFonts w:cs="OpenSymbol;Arial Unicode MS"/>
    </w:rPr>
  </w:style>
  <w:style w:type="character" w:styleId="ListLabel437">
    <w:name w:val="ListLabel 437"/>
    <w:qFormat/>
    <w:rPr>
      <w:rFonts w:cs="OpenSymbol;Arial Unicode MS"/>
    </w:rPr>
  </w:style>
  <w:style w:type="character" w:styleId="ListLabel438">
    <w:name w:val="ListLabel 438"/>
    <w:qFormat/>
    <w:rPr>
      <w:rFonts w:cs="OpenSymbol;Arial Unicode MS"/>
    </w:rPr>
  </w:style>
  <w:style w:type="character" w:styleId="ListLabel439">
    <w:name w:val="ListLabel 439"/>
    <w:qFormat/>
    <w:rPr>
      <w:rFonts w:cs="OpenSymbol;Arial Unicode MS"/>
    </w:rPr>
  </w:style>
  <w:style w:type="character" w:styleId="ListLabel440">
    <w:name w:val="ListLabel 440"/>
    <w:qFormat/>
    <w:rPr>
      <w:rFonts w:cs="OpenSymbol;Arial Unicode MS"/>
    </w:rPr>
  </w:style>
  <w:style w:type="character" w:styleId="ListLabel441">
    <w:name w:val="ListLabel 441"/>
    <w:qFormat/>
    <w:rPr>
      <w:rFonts w:cs="OpenSymbol;Arial Unicode MS"/>
    </w:rPr>
  </w:style>
  <w:style w:type="character" w:styleId="ListLabel442">
    <w:name w:val="ListLabel 442"/>
    <w:qFormat/>
    <w:rPr>
      <w:rFonts w:cs="OpenSymbol;Arial Unicode MS"/>
    </w:rPr>
  </w:style>
  <w:style w:type="character" w:styleId="ListLabel443">
    <w:name w:val="ListLabel 443"/>
    <w:qFormat/>
    <w:rPr>
      <w:rFonts w:cs="OpenSymbol;Arial Unicode MS"/>
    </w:rPr>
  </w:style>
  <w:style w:type="character" w:styleId="ListLabel444">
    <w:name w:val="ListLabel 444"/>
    <w:qFormat/>
    <w:rPr>
      <w:rFonts w:cs="OpenSymbol;Arial Unicode MS"/>
    </w:rPr>
  </w:style>
  <w:style w:type="character" w:styleId="ListLabel445">
    <w:name w:val="ListLabel 445"/>
    <w:qFormat/>
    <w:rPr>
      <w:rFonts w:cs="OpenSymbol;Arial Unicode MS"/>
    </w:rPr>
  </w:style>
  <w:style w:type="character" w:styleId="ListLabel446">
    <w:name w:val="ListLabel 446"/>
    <w:qFormat/>
    <w:rPr>
      <w:rFonts w:cs="OpenSymbol;Arial Unicode MS"/>
    </w:rPr>
  </w:style>
  <w:style w:type="character" w:styleId="ListLabel447">
    <w:name w:val="ListLabel 447"/>
    <w:qFormat/>
    <w:rPr>
      <w:rFonts w:cs="OpenSymbol;Arial Unicode MS"/>
    </w:rPr>
  </w:style>
  <w:style w:type="character" w:styleId="ListLabel448">
    <w:name w:val="ListLabel 448"/>
    <w:qFormat/>
    <w:rPr>
      <w:rFonts w:cs="OpenSymbol;Arial Unicode MS"/>
    </w:rPr>
  </w:style>
  <w:style w:type="character" w:styleId="ListLabel449">
    <w:name w:val="ListLabel 449"/>
    <w:qFormat/>
    <w:rPr>
      <w:rFonts w:cs="OpenSymbol;Arial Unicode MS"/>
    </w:rPr>
  </w:style>
  <w:style w:type="character" w:styleId="ListLabel450">
    <w:name w:val="ListLabel 450"/>
    <w:qFormat/>
    <w:rPr>
      <w:rFonts w:cs="OpenSymbol;Arial Unicode MS"/>
    </w:rPr>
  </w:style>
  <w:style w:type="character" w:styleId="ListLabel451">
    <w:name w:val="ListLabel 451"/>
    <w:qFormat/>
    <w:rPr>
      <w:rFonts w:cs="OpenSymbol;Arial Unicode MS"/>
    </w:rPr>
  </w:style>
  <w:style w:type="character" w:styleId="ListLabel452">
    <w:name w:val="ListLabel 452"/>
    <w:qFormat/>
    <w:rPr>
      <w:rFonts w:cs="OpenSymbol;Arial Unicode MS"/>
    </w:rPr>
  </w:style>
  <w:style w:type="character" w:styleId="ListLabel453">
    <w:name w:val="ListLabel 453"/>
    <w:qFormat/>
    <w:rPr>
      <w:rFonts w:cs="OpenSymbol;Arial Unicode MS"/>
    </w:rPr>
  </w:style>
  <w:style w:type="character" w:styleId="ListLabel454">
    <w:name w:val="ListLabel 454"/>
    <w:qFormat/>
    <w:rPr>
      <w:rFonts w:cs="OpenSymbol;Arial Unicode MS"/>
    </w:rPr>
  </w:style>
  <w:style w:type="character" w:styleId="ListLabel455">
    <w:name w:val="ListLabel 455"/>
    <w:qFormat/>
    <w:rPr>
      <w:rFonts w:cs="OpenSymbol;Arial Unicode MS"/>
    </w:rPr>
  </w:style>
  <w:style w:type="character" w:styleId="ListLabel456">
    <w:name w:val="ListLabel 456"/>
    <w:qFormat/>
    <w:rPr>
      <w:rFonts w:cs="OpenSymbol;Arial Unicode MS"/>
    </w:rPr>
  </w:style>
  <w:style w:type="character" w:styleId="ListLabel457">
    <w:name w:val="ListLabel 457"/>
    <w:qFormat/>
    <w:rPr>
      <w:rFonts w:cs="OpenSymbol;Arial Unicode MS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cs="OpenSymbol;Arial Unicode MS"/>
    </w:rPr>
  </w:style>
  <w:style w:type="character" w:styleId="ListLabel470">
    <w:name w:val="ListLabel 470"/>
    <w:qFormat/>
    <w:rPr>
      <w:rFonts w:cs="OpenSymbol;Arial Unicode MS"/>
    </w:rPr>
  </w:style>
  <w:style w:type="character" w:styleId="ListLabel471">
    <w:name w:val="ListLabel 471"/>
    <w:qFormat/>
    <w:rPr>
      <w:rFonts w:cs="OpenSymbol;Arial Unicode MS"/>
    </w:rPr>
  </w:style>
  <w:style w:type="character" w:styleId="ListLabel472">
    <w:name w:val="ListLabel 472"/>
    <w:qFormat/>
    <w:rPr>
      <w:rFonts w:cs="OpenSymbol;Arial Unicode MS"/>
    </w:rPr>
  </w:style>
  <w:style w:type="character" w:styleId="ListLabel473">
    <w:name w:val="ListLabel 473"/>
    <w:qFormat/>
    <w:rPr>
      <w:rFonts w:cs="OpenSymbol;Arial Unicode MS"/>
    </w:rPr>
  </w:style>
  <w:style w:type="character" w:styleId="ListLabel474">
    <w:name w:val="ListLabel 474"/>
    <w:qFormat/>
    <w:rPr>
      <w:rFonts w:cs="OpenSymbol;Arial Unicode MS"/>
    </w:rPr>
  </w:style>
  <w:style w:type="character" w:styleId="ListLabel475">
    <w:name w:val="ListLabel 475"/>
    <w:qFormat/>
    <w:rPr>
      <w:rFonts w:cs="OpenSymbol;Arial Unicode MS"/>
    </w:rPr>
  </w:style>
  <w:style w:type="character" w:styleId="ListLabel476">
    <w:name w:val="ListLabel 476"/>
    <w:qFormat/>
    <w:rPr>
      <w:rFonts w:cs="OpenSymbol;Arial Unicode MS"/>
    </w:rPr>
  </w:style>
  <w:style w:type="character" w:styleId="ListLabel477">
    <w:name w:val="ListLabel 477"/>
    <w:qFormat/>
    <w:rPr>
      <w:rFonts w:cs="OpenSymbol;Arial Unicode MS"/>
    </w:rPr>
  </w:style>
  <w:style w:type="character" w:styleId="ListLabel478">
    <w:name w:val="ListLabel 478"/>
    <w:qFormat/>
    <w:rPr>
      <w:rFonts w:cs="OpenSymbol;Arial Unicode MS"/>
    </w:rPr>
  </w:style>
  <w:style w:type="character" w:styleId="ListLabel479">
    <w:name w:val="ListLabel 479"/>
    <w:qFormat/>
    <w:rPr>
      <w:rFonts w:cs="OpenSymbol;Arial Unicode MS"/>
    </w:rPr>
  </w:style>
  <w:style w:type="character" w:styleId="ListLabel480">
    <w:name w:val="ListLabel 480"/>
    <w:qFormat/>
    <w:rPr>
      <w:rFonts w:cs="OpenSymbol;Arial Unicode MS"/>
    </w:rPr>
  </w:style>
  <w:style w:type="character" w:styleId="ListLabel481">
    <w:name w:val="ListLabel 481"/>
    <w:qFormat/>
    <w:rPr>
      <w:rFonts w:cs="OpenSymbol;Arial Unicode MS"/>
    </w:rPr>
  </w:style>
  <w:style w:type="character" w:styleId="ListLabel482">
    <w:name w:val="ListLabel 482"/>
    <w:qFormat/>
    <w:rPr>
      <w:rFonts w:cs="OpenSymbol;Arial Unicode MS"/>
    </w:rPr>
  </w:style>
  <w:style w:type="character" w:styleId="ListLabel483">
    <w:name w:val="ListLabel 483"/>
    <w:qFormat/>
    <w:rPr>
      <w:rFonts w:cs="OpenSymbol;Arial Unicode MS"/>
    </w:rPr>
  </w:style>
  <w:style w:type="character" w:styleId="ListLabel484">
    <w:name w:val="ListLabel 484"/>
    <w:qFormat/>
    <w:rPr>
      <w:rFonts w:cs="OpenSymbol;Arial Unicode MS"/>
    </w:rPr>
  </w:style>
  <w:style w:type="character" w:styleId="ListLabel485">
    <w:name w:val="ListLabel 485"/>
    <w:qFormat/>
    <w:rPr>
      <w:rFonts w:cs="OpenSymbol;Arial Unicode MS"/>
    </w:rPr>
  </w:style>
  <w:style w:type="character" w:styleId="ListLabel486">
    <w:name w:val="ListLabel 486"/>
    <w:qFormat/>
    <w:rPr>
      <w:rFonts w:cs="OpenSymbol;Arial Unicode MS"/>
    </w:rPr>
  </w:style>
  <w:style w:type="character" w:styleId="ListLabel487">
    <w:name w:val="ListLabel 487"/>
    <w:qFormat/>
    <w:rPr>
      <w:rFonts w:cs="OpenSymbol;Arial Unicode MS"/>
    </w:rPr>
  </w:style>
  <w:style w:type="character" w:styleId="ListLabel488">
    <w:name w:val="ListLabel 488"/>
    <w:qFormat/>
    <w:rPr>
      <w:rFonts w:cs="OpenSymbol;Arial Unicode MS"/>
    </w:rPr>
  </w:style>
  <w:style w:type="character" w:styleId="ListLabel489">
    <w:name w:val="ListLabel 489"/>
    <w:qFormat/>
    <w:rPr>
      <w:rFonts w:cs="OpenSymbol;Arial Unicode MS"/>
    </w:rPr>
  </w:style>
  <w:style w:type="character" w:styleId="ListLabel490">
    <w:name w:val="ListLabel 490"/>
    <w:qFormat/>
    <w:rPr>
      <w:rFonts w:cs="OpenSymbol;Arial Unicode MS"/>
    </w:rPr>
  </w:style>
  <w:style w:type="character" w:styleId="ListLabel491">
    <w:name w:val="ListLabel 491"/>
    <w:qFormat/>
    <w:rPr>
      <w:rFonts w:cs="OpenSymbol;Arial Unicode MS"/>
    </w:rPr>
  </w:style>
  <w:style w:type="character" w:styleId="ListLabel492">
    <w:name w:val="ListLabel 492"/>
    <w:qFormat/>
    <w:rPr>
      <w:rFonts w:cs="OpenSymbol;Arial Unicode MS"/>
    </w:rPr>
  </w:style>
  <w:style w:type="character" w:styleId="ListLabel493">
    <w:name w:val="ListLabel 493"/>
    <w:qFormat/>
    <w:rPr>
      <w:rFonts w:cs="OpenSymbol;Arial Unicode MS"/>
    </w:rPr>
  </w:style>
  <w:style w:type="character" w:styleId="ListLabel494">
    <w:name w:val="ListLabel 494"/>
    <w:qFormat/>
    <w:rPr>
      <w:rFonts w:cs="OpenSymbol;Arial Unicode MS"/>
    </w:rPr>
  </w:style>
  <w:style w:type="character" w:styleId="ListLabel495">
    <w:name w:val="ListLabel 495"/>
    <w:qFormat/>
    <w:rPr>
      <w:rFonts w:cs="OpenSymbol;Arial Unicode MS"/>
    </w:rPr>
  </w:style>
  <w:style w:type="character" w:styleId="ListLabel496">
    <w:name w:val="ListLabel 496"/>
    <w:qFormat/>
    <w:rPr>
      <w:rFonts w:cs="OpenSymbol;Arial Unicode MS"/>
      <w:b w:val="false"/>
    </w:rPr>
  </w:style>
  <w:style w:type="character" w:styleId="ListLabel497">
    <w:name w:val="ListLabel 497"/>
    <w:qFormat/>
    <w:rPr>
      <w:rFonts w:cs="OpenSymbol;Arial Unicode MS"/>
    </w:rPr>
  </w:style>
  <w:style w:type="character" w:styleId="ListLabel498">
    <w:name w:val="ListLabel 498"/>
    <w:qFormat/>
    <w:rPr>
      <w:rFonts w:cs="OpenSymbol;Arial Unicode MS"/>
    </w:rPr>
  </w:style>
  <w:style w:type="character" w:styleId="ListLabel499">
    <w:name w:val="ListLabel 499"/>
    <w:qFormat/>
    <w:rPr>
      <w:rFonts w:cs="OpenSymbol;Arial Unicode MS"/>
    </w:rPr>
  </w:style>
  <w:style w:type="character" w:styleId="ListLabel500">
    <w:name w:val="ListLabel 500"/>
    <w:qFormat/>
    <w:rPr>
      <w:rFonts w:cs="OpenSymbol;Arial Unicode MS"/>
    </w:rPr>
  </w:style>
  <w:style w:type="character" w:styleId="ListLabel501">
    <w:name w:val="ListLabel 501"/>
    <w:qFormat/>
    <w:rPr>
      <w:rFonts w:cs="OpenSymbol;Arial Unicode MS"/>
    </w:rPr>
  </w:style>
  <w:style w:type="character" w:styleId="ListLabel502">
    <w:name w:val="ListLabel 502"/>
    <w:qFormat/>
    <w:rPr>
      <w:rFonts w:cs="OpenSymbol;Arial Unicode MS"/>
    </w:rPr>
  </w:style>
  <w:style w:type="character" w:styleId="ListLabel503">
    <w:name w:val="ListLabel 503"/>
    <w:qFormat/>
    <w:rPr>
      <w:rFonts w:cs="OpenSymbol;Arial Unicode MS"/>
    </w:rPr>
  </w:style>
  <w:style w:type="character" w:styleId="ListLabel504">
    <w:name w:val="ListLabel 504"/>
    <w:qFormat/>
    <w:rPr>
      <w:rFonts w:cs="OpenSymbol;Arial Unicode MS"/>
    </w:rPr>
  </w:style>
  <w:style w:type="character" w:styleId="ListLabel505">
    <w:name w:val="ListLabel 505"/>
    <w:qFormat/>
    <w:rPr>
      <w:rFonts w:cs="OpenSymbol;Arial Unicode MS"/>
    </w:rPr>
  </w:style>
  <w:style w:type="character" w:styleId="ListLabel506">
    <w:name w:val="ListLabel 506"/>
    <w:qFormat/>
    <w:rPr>
      <w:rFonts w:cs="OpenSymbol;Arial Unicode MS"/>
    </w:rPr>
  </w:style>
  <w:style w:type="character" w:styleId="ListLabel507">
    <w:name w:val="ListLabel 507"/>
    <w:qFormat/>
    <w:rPr>
      <w:rFonts w:cs="OpenSymbol;Arial Unicode MS"/>
    </w:rPr>
  </w:style>
  <w:style w:type="character" w:styleId="ListLabel508">
    <w:name w:val="ListLabel 508"/>
    <w:qFormat/>
    <w:rPr>
      <w:rFonts w:cs="OpenSymbol;Arial Unicode MS"/>
    </w:rPr>
  </w:style>
  <w:style w:type="character" w:styleId="ListLabel509">
    <w:name w:val="ListLabel 509"/>
    <w:qFormat/>
    <w:rPr>
      <w:rFonts w:cs="OpenSymbol;Arial Unicode MS"/>
    </w:rPr>
  </w:style>
  <w:style w:type="character" w:styleId="ListLabel510">
    <w:name w:val="ListLabel 510"/>
    <w:qFormat/>
    <w:rPr>
      <w:rFonts w:cs="OpenSymbol;Arial Unicode MS"/>
    </w:rPr>
  </w:style>
  <w:style w:type="character" w:styleId="ListLabel511">
    <w:name w:val="ListLabel 511"/>
    <w:qFormat/>
    <w:rPr>
      <w:rFonts w:cs="OpenSymbol;Arial Unicode MS"/>
    </w:rPr>
  </w:style>
  <w:style w:type="character" w:styleId="ListLabel512">
    <w:name w:val="ListLabel 512"/>
    <w:qFormat/>
    <w:rPr>
      <w:rFonts w:cs="OpenSymbol;Arial Unicode MS"/>
    </w:rPr>
  </w:style>
  <w:style w:type="character" w:styleId="ListLabel513">
    <w:name w:val="ListLabel 513"/>
    <w:qFormat/>
    <w:rPr>
      <w:rFonts w:cs="OpenSymbol;Arial Unicode MS"/>
    </w:rPr>
  </w:style>
  <w:style w:type="character" w:styleId="ListLabel514">
    <w:name w:val="ListLabel 514"/>
    <w:qFormat/>
    <w:rPr>
      <w:rFonts w:cs="OpenSymbol;Arial Unicode MS"/>
    </w:rPr>
  </w:style>
  <w:style w:type="character" w:styleId="ListLabel515">
    <w:name w:val="ListLabel 515"/>
    <w:qFormat/>
    <w:rPr>
      <w:rFonts w:cs="OpenSymbol;Arial Unicode MS"/>
    </w:rPr>
  </w:style>
  <w:style w:type="character" w:styleId="ListLabel516">
    <w:name w:val="ListLabel 516"/>
    <w:qFormat/>
    <w:rPr>
      <w:rFonts w:cs="OpenSymbol;Arial Unicode MS"/>
    </w:rPr>
  </w:style>
  <w:style w:type="character" w:styleId="ListLabel517">
    <w:name w:val="ListLabel 517"/>
    <w:qFormat/>
    <w:rPr>
      <w:rFonts w:cs="OpenSymbol;Arial Unicode MS"/>
    </w:rPr>
  </w:style>
  <w:style w:type="character" w:styleId="ListLabel518">
    <w:name w:val="ListLabel 518"/>
    <w:qFormat/>
    <w:rPr>
      <w:rFonts w:cs="OpenSymbol;Arial Unicode MS"/>
    </w:rPr>
  </w:style>
  <w:style w:type="character" w:styleId="ListLabel519">
    <w:name w:val="ListLabel 519"/>
    <w:qFormat/>
    <w:rPr>
      <w:rFonts w:cs="OpenSymbol;Arial Unicode MS"/>
    </w:rPr>
  </w:style>
  <w:style w:type="character" w:styleId="ListLabel520">
    <w:name w:val="ListLabel 520"/>
    <w:qFormat/>
    <w:rPr>
      <w:rFonts w:cs="OpenSymbol;Arial Unicode MS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</w:rPr>
  </w:style>
  <w:style w:type="character" w:styleId="ListLabel523">
    <w:name w:val="ListLabel 523"/>
    <w:qFormat/>
    <w:rPr>
      <w:rFonts w:cs="OpenSymbol;Arial Unicode MS"/>
    </w:rPr>
  </w:style>
  <w:style w:type="character" w:styleId="ListLabel524">
    <w:name w:val="ListLabel 524"/>
    <w:qFormat/>
    <w:rPr>
      <w:rFonts w:cs="OpenSymbol;Arial Unicode MS"/>
    </w:rPr>
  </w:style>
  <w:style w:type="character" w:styleId="ListLabel525">
    <w:name w:val="ListLabel 525"/>
    <w:qFormat/>
    <w:rPr>
      <w:rFonts w:cs="OpenSymbol;Arial Unicode MS"/>
    </w:rPr>
  </w:style>
  <w:style w:type="character" w:styleId="ListLabel526">
    <w:name w:val="ListLabel 526"/>
    <w:qFormat/>
    <w:rPr>
      <w:rFonts w:cs="OpenSymbol;Arial Unicode MS"/>
    </w:rPr>
  </w:style>
  <w:style w:type="character" w:styleId="ListLabel527">
    <w:name w:val="ListLabel 527"/>
    <w:qFormat/>
    <w:rPr>
      <w:rFonts w:cs="OpenSymbol;Arial Unicode MS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OpenSymbol;Arial Unicode MS"/>
    </w:rPr>
  </w:style>
  <w:style w:type="character" w:styleId="ListLabel530">
    <w:name w:val="ListLabel 530"/>
    <w:qFormat/>
    <w:rPr>
      <w:rFonts w:cs="OpenSymbol;Arial Unicode MS"/>
    </w:rPr>
  </w:style>
  <w:style w:type="character" w:styleId="ListLabel531">
    <w:name w:val="ListLabel 531"/>
    <w:qFormat/>
    <w:rPr>
      <w:rFonts w:cs="OpenSymbol;Arial Unicode MS"/>
    </w:rPr>
  </w:style>
  <w:style w:type="character" w:styleId="ListLabel532">
    <w:name w:val="ListLabel 532"/>
    <w:qFormat/>
    <w:rPr>
      <w:rFonts w:cs="OpenSymbol;Arial Unicode MS"/>
      <w:b/>
      <w:sz w:val="24"/>
    </w:rPr>
  </w:style>
  <w:style w:type="character" w:styleId="ListLabel533">
    <w:name w:val="ListLabel 533"/>
    <w:qFormat/>
    <w:rPr>
      <w:rFonts w:cs="OpenSymbol;Arial Unicode MS"/>
    </w:rPr>
  </w:style>
  <w:style w:type="character" w:styleId="ListLabel534">
    <w:name w:val="ListLabel 534"/>
    <w:qFormat/>
    <w:rPr>
      <w:rFonts w:cs="OpenSymbol;Arial Unicode MS"/>
    </w:rPr>
  </w:style>
  <w:style w:type="character" w:styleId="ListLabel535">
    <w:name w:val="ListLabel 535"/>
    <w:qFormat/>
    <w:rPr>
      <w:rFonts w:cs="OpenSymbol;Arial Unicode MS"/>
    </w:rPr>
  </w:style>
  <w:style w:type="character" w:styleId="ListLabel536">
    <w:name w:val="ListLabel 536"/>
    <w:qFormat/>
    <w:rPr>
      <w:rFonts w:cs="OpenSymbol;Arial Unicode MS"/>
    </w:rPr>
  </w:style>
  <w:style w:type="character" w:styleId="ListLabel537">
    <w:name w:val="ListLabel 537"/>
    <w:qFormat/>
    <w:rPr>
      <w:rFonts w:cs="OpenSymbol;Arial Unicode MS"/>
    </w:rPr>
  </w:style>
  <w:style w:type="character" w:styleId="ListLabel538">
    <w:name w:val="ListLabel 538"/>
    <w:qFormat/>
    <w:rPr>
      <w:rFonts w:cs="OpenSymbol;Arial Unicode MS"/>
    </w:rPr>
  </w:style>
  <w:style w:type="character" w:styleId="ListLabel539">
    <w:name w:val="ListLabel 539"/>
    <w:qFormat/>
    <w:rPr>
      <w:rFonts w:cs="OpenSymbol;Arial Unicode MS"/>
    </w:rPr>
  </w:style>
  <w:style w:type="character" w:styleId="ListLabel540">
    <w:name w:val="ListLabel 540"/>
    <w:qFormat/>
    <w:rPr>
      <w:rFonts w:cs="OpenSymbol;Arial Unicode MS"/>
    </w:rPr>
  </w:style>
  <w:style w:type="character" w:styleId="ListLabel541">
    <w:name w:val="ListLabel 541"/>
    <w:qFormat/>
    <w:rPr>
      <w:rFonts w:cs="OpenSymbol;Arial Unicode MS"/>
    </w:rPr>
  </w:style>
  <w:style w:type="character" w:styleId="ListLabel542">
    <w:name w:val="ListLabel 542"/>
    <w:qFormat/>
    <w:rPr>
      <w:rFonts w:cs="OpenSymbol;Arial Unicode MS"/>
    </w:rPr>
  </w:style>
  <w:style w:type="character" w:styleId="ListLabel543">
    <w:name w:val="ListLabel 543"/>
    <w:qFormat/>
    <w:rPr>
      <w:rFonts w:cs="OpenSymbol;Arial Unicode MS"/>
    </w:rPr>
  </w:style>
  <w:style w:type="character" w:styleId="ListLabel544">
    <w:name w:val="ListLabel 544"/>
    <w:qFormat/>
    <w:rPr>
      <w:rFonts w:cs="OpenSymbol;Arial Unicode MS"/>
    </w:rPr>
  </w:style>
  <w:style w:type="character" w:styleId="ListLabel545">
    <w:name w:val="ListLabel 545"/>
    <w:qFormat/>
    <w:rPr>
      <w:rFonts w:cs="OpenSymbol;Arial Unicode MS"/>
    </w:rPr>
  </w:style>
  <w:style w:type="character" w:styleId="ListLabel546">
    <w:name w:val="ListLabel 546"/>
    <w:qFormat/>
    <w:rPr>
      <w:rFonts w:cs="OpenSymbol;Arial Unicode MS"/>
    </w:rPr>
  </w:style>
  <w:style w:type="character" w:styleId="ListLabel547">
    <w:name w:val="ListLabel 547"/>
    <w:qFormat/>
    <w:rPr>
      <w:rFonts w:cs="OpenSymbol;Arial Unicode MS"/>
    </w:rPr>
  </w:style>
  <w:style w:type="character" w:styleId="ListLabel548">
    <w:name w:val="ListLabel 548"/>
    <w:qFormat/>
    <w:rPr>
      <w:rFonts w:cs="OpenSymbol;Arial Unicode MS"/>
    </w:rPr>
  </w:style>
  <w:style w:type="character" w:styleId="ListLabel549">
    <w:name w:val="ListLabel 549"/>
    <w:qFormat/>
    <w:rPr>
      <w:rFonts w:cs="OpenSymbol;Arial Unicode MS"/>
    </w:rPr>
  </w:style>
  <w:style w:type="character" w:styleId="ListLabel550">
    <w:name w:val="ListLabel 550"/>
    <w:qFormat/>
    <w:rPr>
      <w:rFonts w:cs="OpenSymbol;Arial Unicode MS"/>
    </w:rPr>
  </w:style>
  <w:style w:type="character" w:styleId="ListLabel551">
    <w:name w:val="ListLabel 551"/>
    <w:qFormat/>
    <w:rPr>
      <w:rFonts w:cs="OpenSymbol;Arial Unicode MS"/>
    </w:rPr>
  </w:style>
  <w:style w:type="character" w:styleId="ListLabel552">
    <w:name w:val="ListLabel 552"/>
    <w:qFormat/>
    <w:rPr>
      <w:rFonts w:cs="OpenSymbol;Arial Unicode MS"/>
    </w:rPr>
  </w:style>
  <w:style w:type="character" w:styleId="ListLabel553">
    <w:name w:val="ListLabel 553"/>
    <w:qFormat/>
    <w:rPr>
      <w:rFonts w:cs="OpenSymbol;Arial Unicode MS"/>
    </w:rPr>
  </w:style>
  <w:style w:type="character" w:styleId="ListLabel554">
    <w:name w:val="ListLabel 554"/>
    <w:qFormat/>
    <w:rPr>
      <w:rFonts w:cs="OpenSymbol;Arial Unicode MS"/>
    </w:rPr>
  </w:style>
  <w:style w:type="character" w:styleId="ListLabel555">
    <w:name w:val="ListLabel 555"/>
    <w:qFormat/>
    <w:rPr>
      <w:rFonts w:cs="OpenSymbol;Arial Unicode MS"/>
    </w:rPr>
  </w:style>
  <w:style w:type="character" w:styleId="ListLabel556">
    <w:name w:val="ListLabel 556"/>
    <w:qFormat/>
    <w:rPr>
      <w:rFonts w:cs="OpenSymbol;Arial Unicode MS"/>
    </w:rPr>
  </w:style>
  <w:style w:type="character" w:styleId="ListLabel557">
    <w:name w:val="ListLabel 557"/>
    <w:qFormat/>
    <w:rPr>
      <w:rFonts w:cs="OpenSymbol;Arial Unicode MS"/>
    </w:rPr>
  </w:style>
  <w:style w:type="character" w:styleId="ListLabel558">
    <w:name w:val="ListLabel 558"/>
    <w:qFormat/>
    <w:rPr>
      <w:rFonts w:cs="OpenSymbol;Arial Unicode MS"/>
    </w:rPr>
  </w:style>
  <w:style w:type="character" w:styleId="ListLabel559">
    <w:name w:val="ListLabel 559"/>
    <w:qFormat/>
    <w:rPr>
      <w:rFonts w:cs="OpenSymbol;Arial Unicode MS"/>
    </w:rPr>
  </w:style>
  <w:style w:type="character" w:styleId="ListLabel560">
    <w:name w:val="ListLabel 560"/>
    <w:qFormat/>
    <w:rPr>
      <w:rFonts w:cs="OpenSymbol;Arial Unicode MS"/>
    </w:rPr>
  </w:style>
  <w:style w:type="character" w:styleId="ListLabel561">
    <w:name w:val="ListLabel 561"/>
    <w:qFormat/>
    <w:rPr>
      <w:rFonts w:cs="OpenSymbol;Arial Unicode MS"/>
    </w:rPr>
  </w:style>
  <w:style w:type="character" w:styleId="ListLabel562">
    <w:name w:val="ListLabel 562"/>
    <w:qFormat/>
    <w:rPr>
      <w:rFonts w:cs="OpenSymbol;Arial Unicode MS"/>
    </w:rPr>
  </w:style>
  <w:style w:type="character" w:styleId="ListLabel563">
    <w:name w:val="ListLabel 563"/>
    <w:qFormat/>
    <w:rPr>
      <w:rFonts w:cs="OpenSymbol;Arial Unicode MS"/>
    </w:rPr>
  </w:style>
  <w:style w:type="character" w:styleId="ListLabel564">
    <w:name w:val="ListLabel 564"/>
    <w:qFormat/>
    <w:rPr>
      <w:rFonts w:cs="OpenSymbol;Arial Unicode MS"/>
    </w:rPr>
  </w:style>
  <w:style w:type="character" w:styleId="ListLabel565">
    <w:name w:val="ListLabel 565"/>
    <w:qFormat/>
    <w:rPr>
      <w:rFonts w:cs="OpenSymbol;Arial Unicode MS"/>
    </w:rPr>
  </w:style>
  <w:style w:type="character" w:styleId="ListLabel566">
    <w:name w:val="ListLabel 566"/>
    <w:qFormat/>
    <w:rPr>
      <w:rFonts w:cs="OpenSymbol;Arial Unicode MS"/>
    </w:rPr>
  </w:style>
  <w:style w:type="character" w:styleId="ListLabel567">
    <w:name w:val="ListLabel 567"/>
    <w:qFormat/>
    <w:rPr>
      <w:rFonts w:cs="OpenSymbol;Arial Unicode MS"/>
    </w:rPr>
  </w:style>
  <w:style w:type="character" w:styleId="ListLabel568">
    <w:name w:val="ListLabel 568"/>
    <w:qFormat/>
    <w:rPr>
      <w:rFonts w:cs="OpenSymbol;Arial Unicode MS"/>
    </w:rPr>
  </w:style>
  <w:style w:type="character" w:styleId="ListLabel569">
    <w:name w:val="ListLabel 569"/>
    <w:qFormat/>
    <w:rPr>
      <w:rFonts w:cs="OpenSymbol;Arial Unicode MS"/>
    </w:rPr>
  </w:style>
  <w:style w:type="character" w:styleId="ListLabel570">
    <w:name w:val="ListLabel 570"/>
    <w:qFormat/>
    <w:rPr>
      <w:rFonts w:cs="OpenSymbol;Arial Unicode MS"/>
    </w:rPr>
  </w:style>
  <w:style w:type="character" w:styleId="ListLabel571">
    <w:name w:val="ListLabel 571"/>
    <w:qFormat/>
    <w:rPr>
      <w:rFonts w:cs="OpenSymbol;Arial Unicode MS"/>
    </w:rPr>
  </w:style>
  <w:style w:type="character" w:styleId="ListLabel572">
    <w:name w:val="ListLabel 572"/>
    <w:qFormat/>
    <w:rPr>
      <w:rFonts w:cs="OpenSymbol;Arial Unicode MS"/>
    </w:rPr>
  </w:style>
  <w:style w:type="character" w:styleId="ListLabel573">
    <w:name w:val="ListLabel 573"/>
    <w:qFormat/>
    <w:rPr>
      <w:rFonts w:cs="OpenSymbol;Arial Unicode MS"/>
    </w:rPr>
  </w:style>
  <w:style w:type="character" w:styleId="ListLabel574">
    <w:name w:val="ListLabel 574"/>
    <w:qFormat/>
    <w:rPr>
      <w:rFonts w:cs="OpenSymbol;Arial Unicode MS"/>
    </w:rPr>
  </w:style>
  <w:style w:type="character" w:styleId="ListLabel575">
    <w:name w:val="ListLabel 575"/>
    <w:qFormat/>
    <w:rPr>
      <w:rFonts w:cs="OpenSymbol;Arial Unicode MS"/>
    </w:rPr>
  </w:style>
  <w:style w:type="character" w:styleId="ListLabel576">
    <w:name w:val="ListLabel 576"/>
    <w:qFormat/>
    <w:rPr>
      <w:rFonts w:cs="OpenSymbol;Arial Unicode MS"/>
    </w:rPr>
  </w:style>
  <w:style w:type="character" w:styleId="ListLabel577">
    <w:name w:val="ListLabel 577"/>
    <w:qFormat/>
    <w:rPr>
      <w:rFonts w:cs="OpenSymbol;Arial Unicode MS"/>
    </w:rPr>
  </w:style>
  <w:style w:type="character" w:styleId="ListLabel578">
    <w:name w:val="ListLabel 578"/>
    <w:qFormat/>
    <w:rPr>
      <w:rFonts w:cs="OpenSymbol;Arial Unicode MS"/>
      <w:b w:val="false"/>
    </w:rPr>
  </w:style>
  <w:style w:type="character" w:styleId="ListLabel579">
    <w:name w:val="ListLabel 579"/>
    <w:qFormat/>
    <w:rPr>
      <w:rFonts w:cs="OpenSymbol;Arial Unicode MS"/>
      <w:b/>
      <w:sz w:val="24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keepNext w:val="true"/>
      <w:numPr>
        <w:ilvl w:val="0"/>
        <w:numId w:val="0"/>
      </w:numPr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8">
    <w:name w:val="Body Text"/>
    <w:basedOn w:val="Normal"/>
    <w:pPr>
      <w:numPr>
        <w:ilvl w:val="0"/>
        <w:numId w:val="0"/>
      </w:numPr>
      <w:shd w:fill="FFFFFF" w:val="clear"/>
      <w:spacing w:lineRule="exact" w:line="322"/>
      <w:ind w:left="0" w:right="0" w:hanging="38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Style29">
    <w:name w:val="List"/>
    <w:basedOn w:val="Style28"/>
    <w:pPr>
      <w:numPr>
        <w:ilvl w:val="0"/>
        <w:numId w:val="0"/>
      </w:numPr>
      <w:shd w:fill="FFFFFF" w:val="clear"/>
      <w:ind w:left="0" w:right="0" w:hanging="380"/>
    </w:pPr>
    <w:rPr>
      <w:rFonts w:cs="Lucida Sans"/>
    </w:rPr>
  </w:style>
  <w:style w:type="paragraph" w:styleId="Style30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14">
    <w:name w:val="Колонтитул1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23">
    <w:name w:val="Основной текст (2)"/>
    <w:basedOn w:val="Normal"/>
    <w:qFormat/>
    <w:pPr>
      <w:numPr>
        <w:ilvl w:val="0"/>
        <w:numId w:val="0"/>
      </w:numPr>
      <w:shd w:fill="FFFFFF" w:val="clear"/>
      <w:spacing w:lineRule="atLeast" w:line="240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2">
    <w:name w:val="Основной текст (3)"/>
    <w:basedOn w:val="Normal"/>
    <w:qFormat/>
    <w:pPr>
      <w:numPr>
        <w:ilvl w:val="0"/>
        <w:numId w:val="0"/>
      </w:numPr>
      <w:shd w:fill="FFFFFF" w:val="clear"/>
      <w:spacing w:lineRule="exact" w:line="274"/>
      <w:jc w:val="both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24">
    <w:name w:val="Заголовок №2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42">
    <w:name w:val="Основной текст (4)"/>
    <w:basedOn w:val="Normal"/>
    <w:qFormat/>
    <w:pPr>
      <w:numPr>
        <w:ilvl w:val="0"/>
        <w:numId w:val="0"/>
      </w:numPr>
      <w:shd w:fill="FFFFFF" w:val="clear"/>
      <w:spacing w:lineRule="exact" w:line="48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25">
    <w:name w:val="Подпись к таблице (2)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2">
    <w:name w:val="Подпись к таблице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15">
    <w:name w:val="Заголовок №1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43">
    <w:name w:val="Основной текст4"/>
    <w:basedOn w:val="Normal"/>
    <w:qFormat/>
    <w:pPr>
      <w:numPr>
        <w:ilvl w:val="0"/>
        <w:numId w:val="0"/>
      </w:numPr>
      <w:shd w:fill="FFFFFF" w:val="clear"/>
      <w:spacing w:lineRule="exact" w:line="322"/>
      <w:ind w:left="0" w:right="0" w:hanging="400"/>
      <w:jc w:val="center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paragraph" w:styleId="Style33">
    <w:name w:val="Head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16">
    <w:name w:val="Подпись к таблице1"/>
    <w:basedOn w:val="Normal"/>
    <w:qFormat/>
    <w:pPr>
      <w:numPr>
        <w:ilvl w:val="0"/>
        <w:numId w:val="0"/>
      </w:numPr>
      <w:shd w:fill="FFFFFF" w:val="clear"/>
      <w:spacing w:lineRule="exact" w:line="485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4">
    <w:name w:val="Содержимое таблицы"/>
    <w:basedOn w:val="Normal"/>
    <w:qFormat/>
    <w:pPr>
      <w:numPr>
        <w:ilvl w:val="0"/>
        <w:numId w:val="0"/>
      </w:numPr>
      <w:suppressLineNumbers/>
    </w:pPr>
    <w:rPr/>
  </w:style>
  <w:style w:type="paragraph" w:styleId="Style35">
    <w:name w:val="Заголовок таблицы"/>
    <w:basedOn w:val="Style34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Style36">
    <w:name w:val="Foot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Style37">
    <w:name w:val="Содержимое врезки"/>
    <w:basedOn w:val="Normal"/>
    <w:qFormat/>
    <w:pPr>
      <w:numPr>
        <w:ilvl w:val="0"/>
        <w:numId w:val="0"/>
      </w:numPr>
    </w:pPr>
    <w:rPr/>
  </w:style>
  <w:style w:type="paragraph" w:styleId="Style38">
    <w:name w:val="Верхний колонтитул слева"/>
    <w:basedOn w:val="Normal"/>
    <w:qFormat/>
    <w:pPr>
      <w:numPr>
        <w:ilvl w:val="0"/>
        <w:numId w:val="0"/>
      </w:numPr>
      <w:suppressLineNumbers/>
      <w:tabs>
        <w:tab w:val="center" w:pos="4535" w:leader="none"/>
        <w:tab w:val="right" w:pos="9070" w:leader="none"/>
      </w:tabs>
    </w:pPr>
    <w:rPr/>
  </w:style>
  <w:style w:type="paragraph" w:styleId="TOAHeading">
    <w:name w:val="TOA Heading"/>
    <w:basedOn w:val="Style27"/>
    <w:qFormat/>
    <w:pPr>
      <w:numPr>
        <w:ilvl w:val="0"/>
        <w:numId w:val="0"/>
      </w:numPr>
      <w:suppressLineNumbers/>
      <w:ind w:left="0" w:right="0" w:hanging="0"/>
    </w:pPr>
    <w:rPr>
      <w:b/>
      <w:bCs/>
      <w:sz w:val="32"/>
      <w:szCs w:val="32"/>
    </w:rPr>
  </w:style>
  <w:style w:type="paragraph" w:styleId="26">
    <w:name w:val="TOC 2"/>
    <w:basedOn w:val="Style31"/>
    <w:pPr>
      <w:numPr>
        <w:ilvl w:val="0"/>
        <w:numId w:val="0"/>
      </w:numPr>
      <w:tabs>
        <w:tab w:val="right" w:pos="8787" w:leader="dot"/>
      </w:tabs>
      <w:ind w:left="283" w:right="0" w:hanging="0"/>
    </w:pPr>
    <w:rPr/>
  </w:style>
  <w:style w:type="paragraph" w:styleId="17">
    <w:name w:val="TOC 1"/>
    <w:basedOn w:val="Style31"/>
    <w:pPr>
      <w:numPr>
        <w:ilvl w:val="0"/>
        <w:numId w:val="0"/>
      </w:numPr>
      <w:tabs>
        <w:tab w:val="right" w:pos="9070" w:leader="dot"/>
      </w:tabs>
      <w:ind w:left="0" w:right="0" w:hanging="0"/>
    </w:pPr>
    <w:rPr/>
  </w:style>
  <w:style w:type="paragraph" w:styleId="Default">
    <w:name w:val="Defaul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Lucida Sans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LibreOffice/5.4.2.2$Windows_x86 LibreOffice_project/22b09f6418e8c2d508a9eaf86b2399209b0990f4</Application>
  <Pages>18</Pages>
  <Words>3500</Words>
  <Characters>24521</Characters>
  <CharactersWithSpaces>27901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2014-01-03T12:34:00Z</dcterms:created>
  <dc:creator>admin</dc:creator>
  <dc:description/>
  <dc:language>ru-RU</dc:language>
  <cp:lastModifiedBy/>
  <cp:lastPrinted>2014-10-14T09:29:00Z</cp:lastPrinted>
  <dcterms:modified xsi:type="dcterms:W3CDTF">2018-06-28T20:30:39Z</dcterms:modified>
  <cp:revision>148</cp:revision>
  <dc:subject/>
  <dc:title>&gt;</dc:title>
</cp:coreProperties>
</file>